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9331">
      <w:pPr>
        <w:kinsoku/>
        <w:overflowPunct w:val="0"/>
        <w:topLinePunct/>
        <w:autoSpaceDE/>
        <w:autoSpaceDN/>
        <w:spacing w:before="192"/>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eastAsia="zh-CN"/>
        </w:rPr>
        <w:drawing>
          <wp:inline distT="0" distB="0" distL="114300" distR="114300">
            <wp:extent cx="5266690" cy="960755"/>
            <wp:effectExtent l="0" t="0" r="381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266690" cy="960755"/>
                    </a:xfrm>
                    <a:prstGeom prst="rect">
                      <a:avLst/>
                    </a:prstGeom>
                    <a:noFill/>
                    <a:ln>
                      <a:noFill/>
                    </a:ln>
                  </pic:spPr>
                </pic:pic>
              </a:graphicData>
            </a:graphic>
          </wp:inline>
        </w:drawing>
      </w:r>
    </w:p>
    <w:p w14:paraId="219882B0">
      <w:pPr>
        <w:kinsoku/>
        <w:overflowPunct w:val="0"/>
        <w:topLinePunct/>
        <w:autoSpaceDE/>
        <w:autoSpaceDN/>
        <w:spacing w:line="326" w:lineRule="exact"/>
        <w:rPr>
          <w:rFonts w:hint="default" w:ascii="Times New Roman" w:hAnsi="Times New Roman" w:eastAsia="仿宋" w:cs="Times New Roman"/>
          <w:color w:val="auto"/>
          <w:sz w:val="28"/>
          <w:szCs w:val="28"/>
        </w:rPr>
      </w:pPr>
    </w:p>
    <w:p w14:paraId="72DA6324">
      <w:pPr>
        <w:pStyle w:val="27"/>
        <w:widowControl/>
        <w:overflowPunct w:val="0"/>
        <w:topLinePunct/>
        <w:autoSpaceDE/>
        <w:autoSpaceDN/>
        <w:ind w:firstLine="560"/>
        <w:rPr>
          <w:rFonts w:hint="default" w:ascii="Times New Roman" w:hAnsi="Times New Roman" w:eastAsia="仿宋" w:cs="Times New Roman"/>
          <w:sz w:val="28"/>
          <w:szCs w:val="28"/>
        </w:rPr>
      </w:pPr>
    </w:p>
    <w:p w14:paraId="3F1A47AD">
      <w:pPr>
        <w:pStyle w:val="27"/>
        <w:widowControl/>
        <w:overflowPunct w:val="0"/>
        <w:topLinePunct/>
        <w:autoSpaceDE/>
        <w:autoSpaceDN/>
        <w:ind w:firstLine="560"/>
        <w:rPr>
          <w:rFonts w:hint="default" w:ascii="Times New Roman" w:hAnsi="Times New Roman" w:eastAsia="仿宋" w:cs="Times New Roman"/>
          <w:sz w:val="28"/>
          <w:szCs w:val="28"/>
        </w:rPr>
      </w:pPr>
    </w:p>
    <w:p w14:paraId="6E3C8B64">
      <w:pPr>
        <w:pStyle w:val="27"/>
        <w:widowControl/>
        <w:overflowPunct w:val="0"/>
        <w:topLinePunct/>
        <w:autoSpaceDE/>
        <w:autoSpaceDN/>
        <w:ind w:firstLine="560"/>
        <w:rPr>
          <w:rFonts w:hint="default" w:ascii="Times New Roman" w:hAnsi="Times New Roman" w:eastAsia="仿宋" w:cs="Times New Roman"/>
          <w:sz w:val="28"/>
          <w:szCs w:val="28"/>
        </w:rPr>
      </w:pPr>
    </w:p>
    <w:p w14:paraId="23BC697A">
      <w:pPr>
        <w:pStyle w:val="27"/>
        <w:widowControl/>
        <w:overflowPunct w:val="0"/>
        <w:topLinePunct/>
        <w:autoSpaceDE/>
        <w:autoSpaceDN/>
        <w:ind w:firstLine="560"/>
        <w:rPr>
          <w:rFonts w:hint="default" w:ascii="Times New Roman" w:hAnsi="Times New Roman" w:eastAsia="仿宋" w:cs="Times New Roman"/>
          <w:sz w:val="28"/>
          <w:szCs w:val="28"/>
        </w:rPr>
      </w:pPr>
    </w:p>
    <w:p w14:paraId="0E272166">
      <w:pPr>
        <w:pStyle w:val="27"/>
        <w:widowControl/>
        <w:overflowPunct w:val="0"/>
        <w:topLinePunct/>
        <w:autoSpaceDE/>
        <w:autoSpaceDN/>
        <w:ind w:firstLine="560"/>
        <w:rPr>
          <w:rFonts w:hint="default" w:ascii="Times New Roman" w:hAnsi="Times New Roman" w:eastAsia="仿宋" w:cs="Times New Roman"/>
          <w:sz w:val="28"/>
          <w:szCs w:val="28"/>
        </w:rPr>
      </w:pPr>
    </w:p>
    <w:p w14:paraId="0E3902C0">
      <w:pPr>
        <w:pStyle w:val="27"/>
        <w:widowControl/>
        <w:overflowPunct w:val="0"/>
        <w:topLinePunct/>
        <w:autoSpaceDE/>
        <w:autoSpaceDN/>
        <w:ind w:firstLine="0" w:firstLineChars="0"/>
        <w:rPr>
          <w:rFonts w:hint="default" w:ascii="Times New Roman" w:hAnsi="Times New Roman" w:eastAsia="仿宋" w:cs="Times New Roman"/>
          <w:sz w:val="28"/>
          <w:szCs w:val="28"/>
        </w:rPr>
      </w:pPr>
    </w:p>
    <w:p w14:paraId="3C2B382C">
      <w:pPr>
        <w:kinsoku/>
        <w:overflowPunct w:val="0"/>
        <w:topLinePunct/>
        <w:autoSpaceDE/>
        <w:autoSpaceDN/>
        <w:spacing w:line="360" w:lineRule="auto"/>
        <w:jc w:val="center"/>
        <w:rPr>
          <w:rFonts w:hint="default" w:ascii="Times New Roman" w:hAnsi="Times New Roman" w:eastAsia="仿宋" w:cs="Times New Roman"/>
          <w:b/>
          <w:bCs/>
          <w:color w:val="auto"/>
          <w:sz w:val="36"/>
          <w:szCs w:val="36"/>
          <w:lang w:eastAsia="zh-CN"/>
        </w:rPr>
      </w:pPr>
    </w:p>
    <w:p w14:paraId="6116C134">
      <w:pPr>
        <w:kinsoku/>
        <w:overflowPunct w:val="0"/>
        <w:topLinePunct/>
        <w:autoSpaceDE/>
        <w:autoSpaceDN/>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原苏州长青电镀厂地块</w:t>
      </w:r>
    </w:p>
    <w:p w14:paraId="40FEE432">
      <w:pPr>
        <w:kinsoku/>
        <w:overflowPunct w:val="0"/>
        <w:topLinePunct/>
        <w:autoSpaceDE/>
        <w:autoSpaceDN/>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土壤污染风险评估报告</w:t>
      </w:r>
    </w:p>
    <w:p w14:paraId="0D85391E">
      <w:pPr>
        <w:kinsoku/>
        <w:overflowPunct w:val="0"/>
        <w:topLinePunct/>
        <w:autoSpaceDE/>
        <w:autoSpaceDN/>
        <w:spacing w:line="360" w:lineRule="auto"/>
        <w:jc w:val="center"/>
        <w:rPr>
          <w:rFonts w:hint="eastAsia" w:ascii="黑体" w:hAnsi="黑体" w:eastAsia="黑体" w:cs="黑体"/>
          <w:sz w:val="44"/>
          <w:szCs w:val="44"/>
          <w:lang w:eastAsia="zh-CN"/>
        </w:rPr>
      </w:pPr>
      <w:r>
        <w:rPr>
          <w:rFonts w:hint="eastAsia" w:ascii="黑体" w:hAnsi="黑体" w:eastAsia="黑体" w:cs="黑体"/>
          <w:b/>
          <w:bCs/>
          <w:color w:val="auto"/>
          <w:sz w:val="44"/>
          <w:szCs w:val="44"/>
          <w:lang w:eastAsia="zh-CN"/>
        </w:rPr>
        <w:t>（</w:t>
      </w:r>
      <w:r>
        <w:rPr>
          <w:rFonts w:hint="eastAsia" w:ascii="黑体" w:hAnsi="黑体" w:eastAsia="黑体" w:cs="黑体"/>
          <w:b/>
          <w:bCs/>
          <w:color w:val="auto"/>
          <w:sz w:val="44"/>
          <w:szCs w:val="44"/>
          <w:lang w:val="en-US" w:eastAsia="zh-CN"/>
        </w:rPr>
        <w:t>送审</w:t>
      </w:r>
      <w:r>
        <w:rPr>
          <w:rFonts w:hint="eastAsia" w:ascii="黑体" w:hAnsi="黑体" w:eastAsia="黑体" w:cs="黑体"/>
          <w:b/>
          <w:bCs/>
          <w:color w:val="auto"/>
          <w:sz w:val="44"/>
          <w:szCs w:val="44"/>
          <w:lang w:eastAsia="zh-CN"/>
        </w:rPr>
        <w:t>稿）</w:t>
      </w:r>
    </w:p>
    <w:p w14:paraId="4AECFD67">
      <w:pPr>
        <w:kinsoku/>
        <w:overflowPunct w:val="0"/>
        <w:topLinePunct/>
        <w:autoSpaceDE/>
        <w:autoSpaceDN/>
        <w:rPr>
          <w:rFonts w:hint="default" w:ascii="Times New Roman" w:hAnsi="Times New Roman" w:eastAsia="仿宋" w:cs="Times New Roman"/>
          <w:color w:val="auto"/>
          <w:sz w:val="28"/>
          <w:szCs w:val="28"/>
          <w:lang w:eastAsia="zh-CN"/>
        </w:rPr>
      </w:pPr>
    </w:p>
    <w:p w14:paraId="00C23987">
      <w:pPr>
        <w:kinsoku/>
        <w:overflowPunct w:val="0"/>
        <w:topLinePunct/>
        <w:autoSpaceDE/>
        <w:autoSpaceDN/>
        <w:rPr>
          <w:rFonts w:hint="default" w:ascii="Times New Roman" w:hAnsi="Times New Roman" w:eastAsia="仿宋" w:cs="Times New Roman"/>
          <w:color w:val="auto"/>
          <w:sz w:val="28"/>
          <w:szCs w:val="28"/>
          <w:lang w:eastAsia="zh-CN"/>
        </w:rPr>
      </w:pPr>
    </w:p>
    <w:p w14:paraId="3625B31B">
      <w:pPr>
        <w:pStyle w:val="27"/>
        <w:widowControl/>
        <w:overflowPunct w:val="0"/>
        <w:topLinePunct/>
        <w:autoSpaceDE/>
        <w:autoSpaceDN/>
        <w:ind w:firstLine="560"/>
        <w:rPr>
          <w:rFonts w:hint="default" w:ascii="Times New Roman" w:hAnsi="Times New Roman" w:eastAsia="仿宋" w:cs="Times New Roman"/>
          <w:sz w:val="28"/>
          <w:szCs w:val="28"/>
        </w:rPr>
      </w:pPr>
    </w:p>
    <w:p w14:paraId="5F54DC17">
      <w:pPr>
        <w:pStyle w:val="27"/>
        <w:widowControl/>
        <w:overflowPunct w:val="0"/>
        <w:topLinePunct/>
        <w:autoSpaceDE/>
        <w:autoSpaceDN/>
        <w:ind w:firstLine="560"/>
        <w:rPr>
          <w:rFonts w:hint="default" w:ascii="Times New Roman" w:hAnsi="Times New Roman" w:eastAsia="仿宋" w:cs="Times New Roman"/>
          <w:sz w:val="28"/>
          <w:szCs w:val="28"/>
        </w:rPr>
      </w:pPr>
    </w:p>
    <w:p w14:paraId="558C3605">
      <w:pPr>
        <w:pStyle w:val="27"/>
        <w:widowControl/>
        <w:overflowPunct w:val="0"/>
        <w:topLinePunct/>
        <w:autoSpaceDE/>
        <w:autoSpaceDN/>
        <w:ind w:firstLine="560"/>
        <w:rPr>
          <w:rFonts w:hint="default" w:ascii="Times New Roman" w:hAnsi="Times New Roman" w:eastAsia="仿宋" w:cs="Times New Roman"/>
          <w:sz w:val="28"/>
          <w:szCs w:val="28"/>
        </w:rPr>
      </w:pPr>
    </w:p>
    <w:p w14:paraId="7F014B95">
      <w:pPr>
        <w:pStyle w:val="27"/>
        <w:widowControl/>
        <w:overflowPunct w:val="0"/>
        <w:topLinePunct/>
        <w:autoSpaceDE/>
        <w:autoSpaceDN/>
        <w:ind w:left="0" w:leftChars="0" w:firstLine="0" w:firstLineChars="0"/>
        <w:rPr>
          <w:rFonts w:hint="default" w:ascii="Times New Roman" w:hAnsi="Times New Roman" w:eastAsia="仿宋" w:cs="Times New Roman"/>
          <w:sz w:val="28"/>
          <w:szCs w:val="28"/>
        </w:rPr>
      </w:pPr>
    </w:p>
    <w:p w14:paraId="6FBD974D">
      <w:pPr>
        <w:kinsoku/>
        <w:overflowPunct w:val="0"/>
        <w:topLinePunct/>
        <w:autoSpaceDE/>
        <w:autoSpaceDN/>
        <w:rPr>
          <w:rFonts w:hint="default" w:ascii="Times New Roman" w:hAnsi="Times New Roman" w:eastAsia="仿宋" w:cs="Times New Roman"/>
          <w:color w:val="auto"/>
          <w:sz w:val="28"/>
          <w:szCs w:val="28"/>
          <w:lang w:eastAsia="zh-CN"/>
        </w:rPr>
      </w:pPr>
    </w:p>
    <w:p w14:paraId="57624EB2">
      <w:pPr>
        <w:kinsoku/>
        <w:overflowPunct w:val="0"/>
        <w:topLinePunct/>
        <w:autoSpaceDE/>
        <w:autoSpaceDN/>
        <w:rPr>
          <w:rFonts w:hint="default" w:ascii="Times New Roman" w:hAnsi="Times New Roman" w:eastAsia="仿宋" w:cs="Times New Roman"/>
          <w:color w:val="auto"/>
          <w:sz w:val="28"/>
          <w:szCs w:val="28"/>
          <w:lang w:eastAsia="zh-CN"/>
        </w:rPr>
      </w:pPr>
    </w:p>
    <w:p w14:paraId="7171E7E4">
      <w:pPr>
        <w:kinsoku/>
        <w:overflowPunct w:val="0"/>
        <w:topLinePunct/>
        <w:autoSpaceDE/>
        <w:autoSpaceDN/>
        <w:spacing w:line="360" w:lineRule="auto"/>
        <w:jc w:val="center"/>
        <w:rPr>
          <w:rFonts w:hint="default" w:ascii="Times New Roman" w:hAnsi="Times New Roman" w:eastAsia="仿宋" w:cs="Times New Roman"/>
          <w:color w:val="auto"/>
          <w:sz w:val="28"/>
          <w:szCs w:val="28"/>
          <w:lang w:eastAsia="zh-CN"/>
        </w:rPr>
      </w:pPr>
    </w:p>
    <w:p w14:paraId="39D9FEE1">
      <w:pPr>
        <w:kinsoku/>
        <w:overflowPunct w:val="0"/>
        <w:topLinePunct/>
        <w:autoSpaceDE/>
        <w:autoSpaceDN/>
        <w:spacing w:line="360" w:lineRule="auto"/>
        <w:jc w:val="center"/>
        <w:rPr>
          <w:rFonts w:hint="default" w:ascii="Times New Roman" w:hAnsi="Times New Roman" w:eastAsia="黑体" w:cs="Times New Roman"/>
          <w:b/>
          <w:bCs/>
          <w:color w:val="auto"/>
          <w:sz w:val="36"/>
          <w:szCs w:val="36"/>
          <w:lang w:eastAsia="zh-CN"/>
        </w:rPr>
      </w:pPr>
      <w:r>
        <w:rPr>
          <w:rFonts w:hint="default" w:ascii="Times New Roman" w:hAnsi="Times New Roman" w:eastAsia="黑体" w:cs="Times New Roman"/>
          <w:b/>
          <w:bCs/>
          <w:color w:val="auto"/>
          <w:sz w:val="36"/>
          <w:szCs w:val="36"/>
          <w:lang w:eastAsia="zh-CN"/>
        </w:rPr>
        <w:t>委托单位：苏州风景旅游发展有限公司</w:t>
      </w:r>
    </w:p>
    <w:p w14:paraId="7B13CAB0">
      <w:pPr>
        <w:kinsoku/>
        <w:overflowPunct w:val="0"/>
        <w:topLinePunct/>
        <w:autoSpaceDE/>
        <w:autoSpaceDN/>
        <w:spacing w:line="360" w:lineRule="auto"/>
        <w:jc w:val="center"/>
        <w:rPr>
          <w:rFonts w:hint="default" w:ascii="Times New Roman" w:hAnsi="Times New Roman" w:eastAsia="黑体" w:cs="Times New Roman"/>
          <w:b/>
          <w:bCs/>
          <w:color w:val="auto"/>
          <w:sz w:val="36"/>
          <w:szCs w:val="36"/>
          <w:lang w:eastAsia="zh-CN"/>
        </w:rPr>
      </w:pPr>
      <w:r>
        <w:rPr>
          <w:rFonts w:hint="default" w:ascii="Times New Roman" w:hAnsi="Times New Roman" w:eastAsia="黑体" w:cs="Times New Roman"/>
          <w:b/>
          <w:bCs/>
          <w:color w:val="auto"/>
          <w:sz w:val="36"/>
          <w:szCs w:val="36"/>
          <w:lang w:eastAsia="zh-CN"/>
        </w:rPr>
        <w:t>编制单位：江苏中宜金大分析检测有限公司</w:t>
      </w:r>
    </w:p>
    <w:p w14:paraId="4153B0AF">
      <w:pPr>
        <w:kinsoku/>
        <w:overflowPunct w:val="0"/>
        <w:topLinePunct/>
        <w:autoSpaceDE/>
        <w:autoSpaceDN/>
        <w:spacing w:line="360" w:lineRule="auto"/>
        <w:jc w:val="center"/>
        <w:rPr>
          <w:rFonts w:hint="default" w:ascii="Times New Roman" w:hAnsi="Times New Roman" w:eastAsia="黑体" w:cs="Times New Roman"/>
          <w:b/>
          <w:bCs/>
          <w:color w:val="auto"/>
          <w:sz w:val="36"/>
          <w:szCs w:val="36"/>
        </w:rPr>
        <w:sectPr>
          <w:headerReference r:id="rId5" w:type="first"/>
          <w:footerReference r:id="rId8" w:type="first"/>
          <w:headerReference r:id="rId3" w:type="default"/>
          <w:footerReference r:id="rId6" w:type="default"/>
          <w:headerReference r:id="rId4" w:type="even"/>
          <w:footerReference r:id="rId7" w:type="even"/>
          <w:pgSz w:w="11905" w:h="16838"/>
          <w:pgMar w:top="1440" w:right="1803" w:bottom="1440" w:left="1803" w:header="833" w:footer="1123" w:gutter="0"/>
          <w:pgNumType w:fmt="upperRoman"/>
          <w:cols w:space="0" w:num="1"/>
          <w:docGrid w:linePitch="381" w:charSpace="0"/>
        </w:sectPr>
      </w:pPr>
      <w:r>
        <w:rPr>
          <w:rFonts w:hint="default" w:ascii="Times New Roman" w:hAnsi="Times New Roman" w:eastAsia="黑体" w:cs="Times New Roman"/>
          <w:b/>
          <w:bCs/>
          <w:color w:val="auto"/>
          <w:sz w:val="36"/>
          <w:szCs w:val="36"/>
        </w:rPr>
        <w:t>202</w:t>
      </w:r>
      <w:r>
        <w:rPr>
          <w:rFonts w:hint="default" w:ascii="Times New Roman" w:hAnsi="Times New Roman" w:eastAsia="黑体" w:cs="Times New Roman"/>
          <w:b/>
          <w:bCs/>
          <w:color w:val="auto"/>
          <w:sz w:val="36"/>
          <w:szCs w:val="36"/>
          <w:lang w:eastAsia="zh-CN"/>
        </w:rPr>
        <w:t xml:space="preserve">5 </w:t>
      </w:r>
      <w:r>
        <w:rPr>
          <w:rFonts w:hint="default" w:ascii="Times New Roman" w:hAnsi="Times New Roman" w:eastAsia="黑体" w:cs="Times New Roman"/>
          <w:b/>
          <w:bCs/>
          <w:color w:val="auto"/>
          <w:sz w:val="36"/>
          <w:szCs w:val="36"/>
        </w:rPr>
        <w:t>年</w:t>
      </w:r>
      <w:r>
        <w:rPr>
          <w:rFonts w:hint="default" w:ascii="Times New Roman" w:hAnsi="Times New Roman" w:eastAsia="黑体" w:cs="Times New Roman"/>
          <w:b/>
          <w:bCs/>
          <w:color w:val="auto"/>
          <w:sz w:val="36"/>
          <w:szCs w:val="36"/>
          <w:lang w:eastAsia="zh-CN"/>
        </w:rPr>
        <w:t xml:space="preserve"> 1</w:t>
      </w:r>
      <w:r>
        <w:rPr>
          <w:rFonts w:hint="default" w:ascii="Times New Roman" w:hAnsi="Times New Roman" w:eastAsia="黑体" w:cs="Times New Roman"/>
          <w:b/>
          <w:bCs/>
          <w:color w:val="auto"/>
          <w:sz w:val="36"/>
          <w:szCs w:val="36"/>
          <w:lang w:val="en-US" w:eastAsia="zh-CN"/>
        </w:rPr>
        <w:t>2</w:t>
      </w:r>
      <w:r>
        <w:rPr>
          <w:rFonts w:hint="default" w:ascii="Times New Roman" w:hAnsi="Times New Roman" w:eastAsia="黑体" w:cs="Times New Roman"/>
          <w:b/>
          <w:bCs/>
          <w:color w:val="auto"/>
          <w:sz w:val="36"/>
          <w:szCs w:val="36"/>
        </w:rPr>
        <w:t>月</w:t>
      </w:r>
    </w:p>
    <w:p w14:paraId="4D32C6BD">
      <w:pPr>
        <w:keepNext/>
        <w:keepLines/>
        <w:widowControl w:val="0"/>
        <w:kinsoku/>
        <w:autoSpaceDE/>
        <w:autoSpaceDN/>
        <w:adjustRightInd/>
        <w:snapToGrid/>
        <w:spacing w:before="120" w:after="120" w:line="360" w:lineRule="auto"/>
        <w:ind w:firstLine="0" w:firstLineChars="0"/>
        <w:jc w:val="center"/>
        <w:textAlignment w:val="auto"/>
        <w:outlineLvl w:val="0"/>
        <w:rPr>
          <w:rFonts w:hint="default" w:ascii="Times New Roman" w:hAnsi="Times New Roman" w:eastAsia="黑体" w:cs="Times New Roman"/>
          <w:b/>
          <w:bCs/>
          <w:snapToGrid/>
          <w:kern w:val="44"/>
          <w:sz w:val="36"/>
          <w:szCs w:val="36"/>
          <w:lang w:eastAsia="zh-CN"/>
        </w:rPr>
      </w:pPr>
      <w:bookmarkStart w:id="0" w:name="_Toc30189"/>
      <w:r>
        <w:rPr>
          <w:rFonts w:hint="default" w:ascii="Times New Roman" w:hAnsi="Times New Roman" w:eastAsia="黑体" w:cs="Times New Roman"/>
          <w:b/>
          <w:bCs/>
          <w:snapToGrid/>
          <w:kern w:val="44"/>
          <w:sz w:val="36"/>
          <w:szCs w:val="36"/>
          <w:lang w:eastAsia="zh-CN"/>
        </w:rPr>
        <w:t>原苏州长青电镀厂地块土壤污染风险评估报告</w:t>
      </w:r>
    </w:p>
    <w:p w14:paraId="7E92151B">
      <w:pPr>
        <w:keepNext/>
        <w:keepLines/>
        <w:widowControl w:val="0"/>
        <w:kinsoku/>
        <w:autoSpaceDE/>
        <w:autoSpaceDN/>
        <w:adjustRightInd/>
        <w:snapToGrid/>
        <w:spacing w:before="120" w:after="120" w:line="360" w:lineRule="auto"/>
        <w:ind w:firstLine="0" w:firstLineChars="0"/>
        <w:jc w:val="center"/>
        <w:textAlignment w:val="auto"/>
        <w:outlineLvl w:val="0"/>
        <w:rPr>
          <w:rFonts w:hint="default" w:ascii="Times New Roman" w:hAnsi="Times New Roman" w:eastAsia="黑体" w:cs="Times New Roman"/>
          <w:b/>
          <w:bCs/>
          <w:snapToGrid/>
          <w:kern w:val="44"/>
          <w:sz w:val="32"/>
          <w:szCs w:val="32"/>
          <w:lang w:eastAsia="zh-CN"/>
        </w:rPr>
      </w:pPr>
      <w:bookmarkStart w:id="1" w:name="_Toc10383"/>
      <w:r>
        <w:rPr>
          <w:rFonts w:hint="default" w:ascii="Times New Roman" w:hAnsi="Times New Roman" w:eastAsia="黑体" w:cs="Times New Roman"/>
          <w:b/>
          <w:bCs/>
          <w:snapToGrid/>
          <w:kern w:val="44"/>
          <w:sz w:val="32"/>
          <w:szCs w:val="32"/>
          <w:lang w:eastAsia="zh-CN"/>
        </w:rPr>
        <w:t>1 项目概述</w:t>
      </w:r>
      <w:bookmarkEnd w:id="0"/>
      <w:bookmarkEnd w:id="1"/>
    </w:p>
    <w:p w14:paraId="4540B40E">
      <w:pPr>
        <w:kinsoku/>
        <w:overflowPunct w:val="0"/>
        <w:topLinePunct/>
        <w:autoSpaceDE/>
        <w:autoSpaceDN/>
        <w:adjustRightInd/>
        <w:snapToGrid/>
        <w:spacing w:before="120" w:after="120" w:line="360" w:lineRule="auto"/>
        <w:jc w:val="both"/>
        <w:textAlignment w:val="auto"/>
        <w:outlineLvl w:val="1"/>
        <w:rPr>
          <w:rFonts w:hint="default" w:ascii="Times New Roman" w:hAnsi="Times New Roman" w:eastAsia="仿宋" w:cs="Times New Roman"/>
          <w:b/>
          <w:bCs/>
          <w:snapToGrid/>
          <w:kern w:val="2"/>
          <w:sz w:val="30"/>
          <w:szCs w:val="30"/>
          <w:lang w:eastAsia="zh-CN"/>
        </w:rPr>
      </w:pPr>
      <w:bookmarkStart w:id="2" w:name="_Toc20187"/>
      <w:bookmarkStart w:id="3" w:name="_Toc10011"/>
      <w:r>
        <w:rPr>
          <w:rFonts w:hint="default" w:ascii="Times New Roman" w:hAnsi="Times New Roman" w:eastAsia="仿宋" w:cs="Times New Roman"/>
          <w:b/>
          <w:bCs/>
          <w:snapToGrid/>
          <w:kern w:val="2"/>
          <w:sz w:val="30"/>
          <w:szCs w:val="30"/>
          <w:lang w:eastAsia="zh-CN"/>
        </w:rPr>
        <w:t>1.1 项目背景</w:t>
      </w:r>
      <w:bookmarkEnd w:id="2"/>
      <w:bookmarkEnd w:id="3"/>
    </w:p>
    <w:p w14:paraId="5E4851AE">
      <w:pPr>
        <w:kinsoku/>
        <w:overflowPunct w:val="0"/>
        <w:topLinePunct/>
        <w:autoSpaceDE/>
        <w:autoSpaceDN/>
        <w:spacing w:line="370" w:lineRule="auto"/>
        <w:ind w:left="40" w:right="215" w:firstLine="601"/>
        <w:jc w:val="both"/>
        <w:rPr>
          <w:rFonts w:hint="default" w:ascii="Times New Roman" w:hAnsi="Times New Roman" w:eastAsia="仿宋" w:cs="Times New Roman"/>
          <w:color w:val="auto"/>
          <w:spacing w:val="1"/>
          <w:sz w:val="28"/>
          <w:szCs w:val="28"/>
          <w:lang w:eastAsia="zh-CN"/>
        </w:rPr>
      </w:pPr>
      <w:r>
        <w:rPr>
          <w:rFonts w:hint="default" w:ascii="Times New Roman" w:hAnsi="Times New Roman" w:eastAsia="仿宋" w:cs="Times New Roman"/>
          <w:color w:val="auto"/>
          <w:spacing w:val="1"/>
          <w:sz w:val="28"/>
          <w:szCs w:val="28"/>
          <w:lang w:eastAsia="zh-CN"/>
        </w:rPr>
        <w:t>本次风险评估地块为苏州长青电镀厂厂区拆除后闲置地块（曾用名为苏州长青镀锡件厂），位于苏州市姑苏区白洋湾街道新渔村，地块北至图巷港、西至润升金属氧化地块、南至空地和西环快速路，东至绿地，面积约 4659.6m</w:t>
      </w:r>
      <w:r>
        <w:rPr>
          <w:rFonts w:hint="default" w:ascii="Times New Roman" w:hAnsi="Times New Roman" w:eastAsia="仿宋" w:cs="Times New Roman"/>
          <w:color w:val="auto"/>
          <w:spacing w:val="1"/>
          <w:sz w:val="28"/>
          <w:szCs w:val="28"/>
          <w:vertAlign w:val="superscript"/>
          <w:lang w:eastAsia="zh-CN"/>
        </w:rPr>
        <w:t>2</w:t>
      </w:r>
      <w:r>
        <w:rPr>
          <w:rFonts w:hint="default" w:ascii="Times New Roman" w:hAnsi="Times New Roman" w:eastAsia="仿宋" w:cs="Times New Roman"/>
          <w:color w:val="auto"/>
          <w:spacing w:val="1"/>
          <w:sz w:val="28"/>
          <w:szCs w:val="28"/>
          <w:lang w:eastAsia="zh-CN"/>
        </w:rPr>
        <w:t>。该公司主要从事镀锌、镀锡、镀镍、氧化、镍磷合金、磷化、酸洗等金属件表面处理工作。</w:t>
      </w:r>
    </w:p>
    <w:p w14:paraId="195FD19D">
      <w:pPr>
        <w:pStyle w:val="27"/>
        <w:widowControl/>
        <w:overflowPunct w:val="0"/>
        <w:topLinePunct/>
        <w:autoSpaceDE/>
        <w:autoSpaceDN/>
        <w:ind w:firstLine="562"/>
        <w:rPr>
          <w:rFonts w:hint="default" w:ascii="Times New Roman" w:hAnsi="Times New Roman" w:eastAsia="仿宋" w:cs="Times New Roman"/>
          <w:sz w:val="28"/>
          <w:szCs w:val="28"/>
        </w:rPr>
      </w:pPr>
      <w:r>
        <w:rPr>
          <w:rFonts w:hint="default" w:ascii="Times New Roman" w:hAnsi="Times New Roman" w:eastAsia="仿宋" w:cs="Times New Roman"/>
          <w:spacing w:val="1"/>
          <w:sz w:val="28"/>
          <w:szCs w:val="28"/>
        </w:rPr>
        <w:t>20</w:t>
      </w:r>
      <w:r>
        <w:rPr>
          <w:rFonts w:hint="default" w:ascii="Times New Roman" w:hAnsi="Times New Roman" w:eastAsia="仿宋" w:cs="Times New Roman"/>
          <w:spacing w:val="1"/>
          <w:sz w:val="28"/>
          <w:szCs w:val="28"/>
          <w:lang w:val="en-US"/>
        </w:rPr>
        <w:t>24</w:t>
      </w:r>
      <w:r>
        <w:rPr>
          <w:rFonts w:hint="default" w:ascii="Times New Roman" w:hAnsi="Times New Roman" w:eastAsia="仿宋" w:cs="Times New Roman"/>
          <w:spacing w:val="1"/>
          <w:sz w:val="28"/>
          <w:szCs w:val="28"/>
        </w:rPr>
        <w:t>年，苏州风景旅游发展有限公司委托</w:t>
      </w:r>
      <w:r>
        <w:rPr>
          <w:rFonts w:hint="default" w:ascii="Times New Roman" w:hAnsi="Times New Roman" w:eastAsia="仿宋" w:cs="Times New Roman"/>
          <w:spacing w:val="1"/>
          <w:sz w:val="28"/>
          <w:szCs w:val="28"/>
          <w:lang w:val="en-US"/>
        </w:rPr>
        <w:t>江苏中宜金大分析检测</w:t>
      </w:r>
      <w:r>
        <w:rPr>
          <w:rFonts w:hint="default" w:ascii="Times New Roman" w:hAnsi="Times New Roman" w:eastAsia="仿宋" w:cs="Times New Roman"/>
          <w:spacing w:val="1"/>
          <w:sz w:val="28"/>
          <w:szCs w:val="28"/>
        </w:rPr>
        <w:t>有限公司对本地块进行了</w:t>
      </w:r>
      <w:r>
        <w:rPr>
          <w:rFonts w:hint="default" w:ascii="Times New Roman" w:hAnsi="Times New Roman" w:eastAsia="仿宋" w:cs="Times New Roman"/>
          <w:sz w:val="28"/>
          <w:szCs w:val="28"/>
        </w:rPr>
        <w:t>详细调查工作</w:t>
      </w:r>
      <w:r>
        <w:rPr>
          <w:rFonts w:hint="default" w:ascii="Times New Roman" w:hAnsi="Times New Roman" w:eastAsia="仿宋" w:cs="Times New Roman"/>
          <w:spacing w:val="1"/>
          <w:sz w:val="28"/>
          <w:szCs w:val="28"/>
        </w:rPr>
        <w:t>。</w:t>
      </w:r>
    </w:p>
    <w:p w14:paraId="0BF9280A">
      <w:pPr>
        <w:kinsoku/>
        <w:overflowPunct w:val="0"/>
        <w:topLinePunct/>
        <w:autoSpaceDE/>
        <w:autoSpaceDN/>
        <w:spacing w:line="370" w:lineRule="auto"/>
        <w:ind w:left="40" w:right="215" w:firstLine="601"/>
        <w:jc w:val="both"/>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根据前期调查结果，土壤及地下水中污染物超出相关国家标准：</w:t>
      </w:r>
    </w:p>
    <w:p w14:paraId="7081BD5B">
      <w:pPr>
        <w:kinsoku/>
        <w:overflowPunct w:val="0"/>
        <w:topLinePunct/>
        <w:autoSpaceDE/>
        <w:autoSpaceDN/>
        <w:spacing w:line="370" w:lineRule="auto"/>
        <w:ind w:left="40" w:right="215" w:firstLine="601"/>
        <w:jc w:val="both"/>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（1）土壤主要污染物为六价铬；</w:t>
      </w:r>
    </w:p>
    <w:p w14:paraId="3C4A2EF7">
      <w:pPr>
        <w:kinsoku/>
        <w:overflowPunct w:val="0"/>
        <w:topLinePunct/>
        <w:autoSpaceDE/>
        <w:autoSpaceDN/>
        <w:spacing w:line="370" w:lineRule="auto"/>
        <w:ind w:left="40" w:right="215" w:firstLine="601"/>
        <w:jc w:val="both"/>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（2）地块内地下水中氨氮、溶解性总固体、碘化物、氯化物、硫酸盐、锰、氟化物、铬超过《地下水质量标准》（GB/T14848-2017）中的Ⅳ类水质标准，石油烃（C</w:t>
      </w:r>
      <w:r>
        <w:rPr>
          <w:rFonts w:hint="default" w:ascii="Times New Roman" w:hAnsi="Times New Roman" w:eastAsia="仿宋" w:cs="Times New Roman"/>
          <w:sz w:val="28"/>
          <w:szCs w:val="28"/>
          <w:vertAlign w:val="subscript"/>
          <w:lang w:eastAsia="zh-CN"/>
        </w:rPr>
        <w:t>10</w:t>
      </w:r>
      <w:r>
        <w:rPr>
          <w:rFonts w:hint="default" w:ascii="Times New Roman" w:hAnsi="Times New Roman" w:eastAsia="仿宋" w:cs="Times New Roman"/>
          <w:sz w:val="28"/>
          <w:szCs w:val="28"/>
          <w:lang w:eastAsia="zh-CN"/>
        </w:rPr>
        <w:t>-C</w:t>
      </w:r>
      <w:r>
        <w:rPr>
          <w:rFonts w:hint="default" w:ascii="Times New Roman" w:hAnsi="Times New Roman" w:eastAsia="仿宋" w:cs="Times New Roman"/>
          <w:sz w:val="28"/>
          <w:szCs w:val="28"/>
          <w:vertAlign w:val="subscript"/>
          <w:lang w:eastAsia="zh-CN"/>
        </w:rPr>
        <w:t>40</w:t>
      </w:r>
      <w:r>
        <w:rPr>
          <w:rFonts w:hint="default" w:ascii="Times New Roman" w:hAnsi="Times New Roman" w:eastAsia="仿宋" w:cs="Times New Roman"/>
          <w:sz w:val="28"/>
          <w:szCs w:val="28"/>
          <w:lang w:eastAsia="zh-CN"/>
        </w:rPr>
        <w:t>）超过上海市建设用地地下水污染风险管控筛选值补充指标》（沪环土〔2020〕62号附件5）二类用地筛选值，另外总铬最高检出值远高于对照点。</w:t>
      </w:r>
    </w:p>
    <w:p w14:paraId="04F88A95">
      <w:pPr>
        <w:kinsoku/>
        <w:overflowPunct w:val="0"/>
        <w:topLinePunct/>
        <w:autoSpaceDE/>
        <w:autoSpaceDN/>
        <w:spacing w:before="216" w:line="363" w:lineRule="auto"/>
        <w:ind w:left="34" w:right="215" w:firstLine="578"/>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pacing w:val="-8"/>
          <w:sz w:val="28"/>
          <w:szCs w:val="28"/>
          <w:lang w:eastAsia="zh-CN"/>
        </w:rPr>
        <w:t>综合以上调查结果，确定该地块属于污染地块。根据国家、地方相关管</w:t>
      </w:r>
      <w:r>
        <w:rPr>
          <w:rFonts w:hint="default" w:ascii="Times New Roman" w:hAnsi="Times New Roman" w:eastAsia="仿宋" w:cs="Times New Roman"/>
          <w:color w:val="auto"/>
          <w:spacing w:val="2"/>
          <w:sz w:val="28"/>
          <w:szCs w:val="28"/>
          <w:lang w:eastAsia="zh-CN"/>
        </w:rPr>
        <w:t>理要求，为切实保障地块再开发利用安全，苏州风景旅游发展有限公司委托我公司对本地块开展土壤污染风险评估工作。通过补充调查获取地块特征参数及其他调查数据，形成原苏州长青电镀厂地块土壤污染</w:t>
      </w:r>
      <w:r>
        <w:rPr>
          <w:rFonts w:hint="default" w:ascii="Times New Roman" w:hAnsi="Times New Roman" w:eastAsia="仿宋" w:cs="Times New Roman"/>
          <w:color w:val="auto"/>
          <w:spacing w:val="-4"/>
          <w:sz w:val="28"/>
          <w:szCs w:val="28"/>
          <w:lang w:eastAsia="zh-CN"/>
        </w:rPr>
        <w:t>风险评估报告（本报告）。</w:t>
      </w:r>
    </w:p>
    <w:p w14:paraId="4DE9293B">
      <w:pPr>
        <w:kinsoku/>
        <w:overflowPunct w:val="0"/>
        <w:topLinePunct/>
        <w:autoSpaceDE/>
        <w:autoSpaceDN/>
        <w:adjustRightInd/>
        <w:snapToGrid/>
        <w:spacing w:before="120" w:after="120" w:line="360" w:lineRule="auto"/>
        <w:jc w:val="both"/>
        <w:textAlignment w:val="auto"/>
        <w:outlineLvl w:val="1"/>
        <w:rPr>
          <w:rFonts w:hint="default" w:ascii="Times New Roman" w:hAnsi="Times New Roman" w:eastAsia="仿宋" w:cs="Times New Roman"/>
          <w:b/>
          <w:bCs/>
          <w:snapToGrid/>
          <w:kern w:val="2"/>
          <w:sz w:val="30"/>
          <w:szCs w:val="30"/>
          <w:lang w:eastAsia="zh-CN"/>
        </w:rPr>
      </w:pPr>
      <w:bookmarkStart w:id="4" w:name="_Toc1780"/>
      <w:bookmarkStart w:id="5" w:name="_Toc22157"/>
      <w:r>
        <w:rPr>
          <w:rFonts w:hint="default" w:ascii="Times New Roman" w:hAnsi="Times New Roman" w:eastAsia="仿宋" w:cs="Times New Roman"/>
          <w:b/>
          <w:bCs/>
          <w:snapToGrid/>
          <w:kern w:val="2"/>
          <w:sz w:val="30"/>
          <w:szCs w:val="30"/>
          <w:lang w:eastAsia="zh-CN"/>
        </w:rPr>
        <w:t>1.2 对象与范围</w:t>
      </w:r>
      <w:bookmarkEnd w:id="4"/>
      <w:bookmarkEnd w:id="5"/>
    </w:p>
    <w:p w14:paraId="79237304">
      <w:pPr>
        <w:rPr>
          <w:rFonts w:hint="default" w:ascii="Times New Roman" w:hAnsi="Times New Roman" w:eastAsia="仿宋" w:cs="Times New Roman"/>
          <w:b/>
          <w:bCs/>
          <w:snapToGrid/>
          <w:kern w:val="2"/>
          <w:sz w:val="30"/>
          <w:szCs w:val="30"/>
          <w:lang w:eastAsia="zh-CN"/>
        </w:rPr>
      </w:pPr>
      <w:r>
        <w:rPr>
          <w:rFonts w:hint="default" w:ascii="Times New Roman" w:hAnsi="Times New Roman" w:eastAsia="仿宋" w:cs="Times New Roman"/>
          <w:color w:val="auto"/>
          <w:spacing w:val="2"/>
          <w:sz w:val="28"/>
          <w:szCs w:val="28"/>
          <w:lang w:eastAsia="zh-CN"/>
        </w:rPr>
        <w:t>本次地块调查评估区域为原苏州长青电镀厂厂区，地块四至范围为：地块北至图巷港、西至润升金属氧化地块、南至空地和西环快速路，东至绿地，总占地面积约 4659.6m</w:t>
      </w:r>
      <w:r>
        <w:rPr>
          <w:rFonts w:hint="default" w:ascii="Times New Roman" w:hAnsi="Times New Roman" w:eastAsia="仿宋" w:cs="Times New Roman"/>
          <w:color w:val="auto"/>
          <w:spacing w:val="2"/>
          <w:sz w:val="28"/>
          <w:szCs w:val="28"/>
          <w:vertAlign w:val="superscript"/>
          <w:lang w:eastAsia="zh-CN"/>
        </w:rPr>
        <w:t>2</w:t>
      </w:r>
      <w:r>
        <w:rPr>
          <w:rFonts w:hint="default" w:ascii="Times New Roman" w:hAnsi="Times New Roman" w:eastAsia="仿宋" w:cs="Times New Roman"/>
          <w:color w:val="auto"/>
          <w:spacing w:val="2"/>
          <w:sz w:val="28"/>
          <w:szCs w:val="28"/>
          <w:lang w:eastAsia="zh-CN"/>
        </w:rPr>
        <w:t>。地块范围位置见图1.2-1~2，地块边界拐点坐标</w:t>
      </w:r>
    </w:p>
    <w:p w14:paraId="60006214">
      <w:pPr>
        <w:kinsoku/>
        <w:overflowPunct w:val="0"/>
        <w:topLinePunct/>
        <w:autoSpaceDE/>
        <w:autoSpaceDN/>
        <w:adjustRightInd/>
        <w:snapToGrid/>
        <w:spacing w:before="120" w:after="120" w:line="360" w:lineRule="auto"/>
        <w:jc w:val="both"/>
        <w:textAlignment w:val="auto"/>
        <w:outlineLvl w:val="1"/>
        <w:rPr>
          <w:rFonts w:hint="default" w:ascii="Times New Roman" w:hAnsi="Times New Roman" w:eastAsia="仿宋" w:cs="Times New Roman"/>
          <w:b/>
          <w:bCs/>
          <w:snapToGrid/>
          <w:kern w:val="2"/>
          <w:sz w:val="30"/>
          <w:szCs w:val="30"/>
          <w:lang w:eastAsia="zh-CN"/>
        </w:rPr>
      </w:pPr>
      <w:bookmarkStart w:id="6" w:name="_Toc805"/>
      <w:bookmarkStart w:id="7" w:name="_Toc6127"/>
      <w:r>
        <w:rPr>
          <w:rFonts w:hint="default" w:ascii="Times New Roman" w:hAnsi="Times New Roman" w:eastAsia="仿宋" w:cs="Times New Roman"/>
          <w:b/>
          <w:bCs/>
          <w:snapToGrid/>
          <w:kern w:val="2"/>
          <w:sz w:val="30"/>
          <w:szCs w:val="30"/>
          <w:lang w:eastAsia="zh-CN"/>
        </w:rPr>
        <w:t>1.3 风险评估内容</w:t>
      </w:r>
      <w:bookmarkEnd w:id="6"/>
      <w:bookmarkEnd w:id="7"/>
    </w:p>
    <w:p w14:paraId="09BF7C66">
      <w:pPr>
        <w:pStyle w:val="8"/>
        <w:kinsoku/>
        <w:overflowPunct w:val="0"/>
        <w:topLinePunct/>
        <w:autoSpaceDE/>
        <w:autoSpaceDN/>
        <w:spacing w:before="300" w:line="365" w:lineRule="auto"/>
        <w:ind w:left="37" w:right="25" w:firstLine="562"/>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风险评估按照《建设用地土壤污染风险评估技术导则》（HJ25.3-2019）实施。根据导则要求，工作内容包括危害识别、暴露评估、毒性评估、风险表征以及土壤和地下水风险控制值计算。</w:t>
      </w:r>
    </w:p>
    <w:p w14:paraId="12141472">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（1）危害识别</w:t>
      </w:r>
    </w:p>
    <w:p w14:paraId="27612684">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收集土壤污染状况调查阶段获得的相关资料和数据，掌握地块土壤和地下水中关注污染物的含量分布，明确规划土地利用方式，分析可能的敏感受体，如儿童、成人、地下水体等。</w:t>
      </w:r>
    </w:p>
    <w:p w14:paraId="550F6C45">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（2）暴露评估</w:t>
      </w:r>
    </w:p>
    <w:p w14:paraId="4BB9767F">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在危害识别的工作基础上，分析地块内关注污染物迁移和危害敏感受体的可能性，确定地块土壤和地下水污染物的主要暴露途径和暴露评估模型，确定评估模型参数取值，计算敏感人群对土壤和地下水中污染物的暴露量。</w:t>
      </w:r>
    </w:p>
    <w:p w14:paraId="2503C167">
      <w:pPr>
        <w:pStyle w:val="8"/>
        <w:kinsoku/>
        <w:overflowPunct w:val="0"/>
        <w:topLinePunct/>
        <w:autoSpaceDE/>
        <w:autoSpaceDN/>
        <w:spacing w:before="300" w:line="365" w:lineRule="auto"/>
        <w:ind w:left="37" w:right="25" w:firstLine="562"/>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（3）毒性评估</w:t>
      </w:r>
    </w:p>
    <w:p w14:paraId="1C1F490A">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在危害识别的基础上，分析关注污染物对人体健康的危害效应，包括致癌效应和非致癌效应，确定与关注污染物相关的参数，包括参考剂量、参考浓度、致癌斜率因子和呼吸吸入单位致癌因子等。</w:t>
      </w:r>
    </w:p>
    <w:p w14:paraId="7741B615">
      <w:pPr>
        <w:pStyle w:val="8"/>
        <w:kinsoku/>
        <w:overflowPunct w:val="0"/>
        <w:topLinePunct/>
        <w:autoSpaceDE/>
        <w:autoSpaceDN/>
        <w:spacing w:before="300" w:line="365" w:lineRule="auto"/>
        <w:ind w:left="37" w:right="25" w:firstLine="562"/>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（4）风险表征</w:t>
      </w:r>
    </w:p>
    <w:p w14:paraId="2EF33F56">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在暴露评估和毒性评估的基础上，采用风险评估模型计算土壤和地下水中单一污染物经单一途径的致癌风险和危害商，计算单一污染物的总致癌风险和危害指数，进行不确定性分析。</w:t>
      </w:r>
    </w:p>
    <w:p w14:paraId="44D19BE3">
      <w:pPr>
        <w:pStyle w:val="8"/>
        <w:kinsoku/>
        <w:overflowPunct w:val="0"/>
        <w:topLinePunct/>
        <w:autoSpaceDE/>
        <w:autoSpaceDN/>
        <w:spacing w:before="300" w:line="365" w:lineRule="auto"/>
        <w:ind w:left="37" w:right="25" w:firstLine="562"/>
        <w:jc w:val="both"/>
        <w:rPr>
          <w:rFonts w:hint="default" w:ascii="Times New Roman" w:hAnsi="Times New Roman" w:eastAsia="仿宋" w:cs="Times New Roman"/>
          <w:color w:val="auto"/>
          <w:spacing w:val="2"/>
          <w:lang w:eastAsia="zh-CN"/>
        </w:rPr>
      </w:pPr>
      <w:bookmarkStart w:id="8" w:name="bookmark85"/>
      <w:bookmarkEnd w:id="8"/>
      <w:r>
        <w:rPr>
          <w:rFonts w:hint="default" w:ascii="Times New Roman" w:hAnsi="Times New Roman" w:eastAsia="仿宋" w:cs="Times New Roman"/>
          <w:color w:val="auto"/>
          <w:spacing w:val="2"/>
          <w:lang w:eastAsia="zh-CN"/>
        </w:rPr>
        <w:t>（5）土壤和地下水风险控制值计算</w:t>
      </w:r>
    </w:p>
    <w:p w14:paraId="38561E8B">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在风险表征的基础上，判断计算得到的风险值是否超过可接受风险水平。如地块风险评估结果未超过可接受风险水平，则结束风险评估工作；如地块风险评估结果超过可接受风险水平，则计算土壤、地下水中关注污染物的风险控制值；如调查结果表明，土壤中关注污染物可迁移进入地下水，则计算保护地下水的土壤风险控制值；根据计算结果，提出关注污染物的土壤和地下水风险控制值。</w:t>
      </w:r>
    </w:p>
    <w:p w14:paraId="5ADE947C">
      <w:pPr>
        <w:kinsoku/>
        <w:overflowPunct w:val="0"/>
        <w:topLinePunct/>
        <w:autoSpaceDE/>
        <w:autoSpaceDN/>
        <w:adjustRightInd/>
        <w:snapToGrid/>
        <w:spacing w:before="120" w:after="120" w:line="360" w:lineRule="auto"/>
        <w:jc w:val="both"/>
        <w:textAlignment w:val="auto"/>
        <w:outlineLvl w:val="1"/>
        <w:rPr>
          <w:rFonts w:hint="default" w:ascii="Times New Roman" w:hAnsi="Times New Roman" w:eastAsia="仿宋" w:cs="Times New Roman"/>
          <w:b/>
          <w:bCs/>
          <w:snapToGrid/>
          <w:kern w:val="2"/>
          <w:sz w:val="30"/>
          <w:szCs w:val="30"/>
          <w:lang w:eastAsia="zh-CN"/>
        </w:rPr>
      </w:pPr>
      <w:bookmarkStart w:id="9" w:name="_Toc29530"/>
      <w:bookmarkStart w:id="10" w:name="_Toc22532"/>
      <w:r>
        <w:rPr>
          <w:rFonts w:hint="default" w:ascii="Times New Roman" w:hAnsi="Times New Roman" w:eastAsia="仿宋" w:cs="Times New Roman"/>
          <w:b/>
          <w:bCs/>
          <w:snapToGrid/>
          <w:kern w:val="2"/>
          <w:sz w:val="30"/>
          <w:szCs w:val="30"/>
          <w:lang w:eastAsia="zh-CN"/>
        </w:rPr>
        <w:t>1.4 风险评估程序</w:t>
      </w:r>
      <w:bookmarkEnd w:id="9"/>
      <w:bookmarkEnd w:id="10"/>
    </w:p>
    <w:p w14:paraId="27F338A8">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根据《建设用地土壤污染风险评估技术导则》（HJ 25.3-2019）的流程见图 1.4-1，确定本次原苏州长青电镀有限公司地块人体健康风险评估的总体工作程序。</w:t>
      </w:r>
    </w:p>
    <w:p w14:paraId="38D1562E">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p>
    <w:p w14:paraId="51E3F1AF">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p>
    <w:p w14:paraId="30BBB1A6">
      <w:pPr>
        <w:kinsoku/>
        <w:overflowPunct w:val="0"/>
        <w:topLinePunct/>
        <w:autoSpaceDE/>
        <w:autoSpaceDN/>
        <w:spacing w:before="1"/>
        <w:jc w:val="center"/>
        <w:rPr>
          <w:rFonts w:hint="default" w:ascii="Times New Roman" w:hAnsi="Times New Roman" w:eastAsia="仿宋" w:cs="Times New Roman"/>
          <w:color w:val="0000FF"/>
          <w:sz w:val="28"/>
          <w:szCs w:val="28"/>
        </w:rPr>
      </w:pPr>
    </w:p>
    <w:p w14:paraId="2B9AF670">
      <w:pPr>
        <w:pStyle w:val="8"/>
        <w:kinsoku/>
        <w:overflowPunct w:val="0"/>
        <w:topLinePunct/>
        <w:autoSpaceDE/>
        <w:autoSpaceDN/>
        <w:snapToGrid/>
        <w:spacing w:before="120" w:beforeLines="50" w:line="360" w:lineRule="auto"/>
        <w:jc w:val="center"/>
        <w:rPr>
          <w:rFonts w:hint="default" w:ascii="Times New Roman" w:hAnsi="Times New Roman" w:eastAsia="仿宋" w:cs="Times New Roman"/>
          <w:b/>
          <w:bCs/>
          <w:color w:val="auto"/>
          <w:spacing w:val="-8"/>
          <w:sz w:val="24"/>
          <w:szCs w:val="24"/>
          <w:lang w:eastAsia="zh-CN"/>
        </w:rPr>
      </w:pPr>
      <w:r>
        <w:rPr>
          <w:rFonts w:hint="default" w:ascii="Times New Roman" w:hAnsi="Times New Roman" w:eastAsia="仿宋" w:cs="Times New Roman"/>
          <w:b/>
          <w:bCs/>
          <w:color w:val="auto"/>
          <w:spacing w:val="-8"/>
          <w:sz w:val="24"/>
          <w:szCs w:val="24"/>
          <w:lang w:eastAsia="zh-CN"/>
        </w:rPr>
        <w:t>图 1.4-1  污染地块人体健康风险评估工作程序</w:t>
      </w:r>
    </w:p>
    <w:p w14:paraId="72ECE4F3">
      <w:pPr>
        <w:rPr>
          <w:rFonts w:hint="default" w:ascii="Times New Roman" w:hAnsi="Times New Roman" w:eastAsia="仿宋" w:cs="Times New Roman"/>
          <w:b/>
          <w:bCs/>
          <w:snapToGrid/>
          <w:kern w:val="2"/>
          <w:sz w:val="30"/>
          <w:szCs w:val="30"/>
          <w:lang w:eastAsia="zh-CN"/>
        </w:rPr>
      </w:pPr>
      <w:r>
        <w:rPr>
          <w:rFonts w:hint="default" w:ascii="Times New Roman" w:hAnsi="Times New Roman" w:eastAsia="仿宋" w:cs="Times New Roman"/>
          <w:b/>
          <w:bCs/>
          <w:snapToGrid/>
          <w:kern w:val="2"/>
          <w:sz w:val="30"/>
          <w:szCs w:val="30"/>
          <w:lang w:eastAsia="zh-CN"/>
        </w:rPr>
        <w:br w:type="page"/>
      </w:r>
    </w:p>
    <w:p w14:paraId="05183C50">
      <w:pPr>
        <w:kinsoku/>
        <w:overflowPunct w:val="0"/>
        <w:topLinePunct/>
        <w:autoSpaceDE/>
        <w:autoSpaceDN/>
        <w:adjustRightInd/>
        <w:snapToGrid/>
        <w:spacing w:before="120" w:after="120" w:line="360" w:lineRule="auto"/>
        <w:jc w:val="both"/>
        <w:textAlignment w:val="auto"/>
        <w:outlineLvl w:val="1"/>
        <w:rPr>
          <w:rFonts w:hint="default" w:ascii="Times New Roman" w:hAnsi="Times New Roman" w:eastAsia="仿宋" w:cs="Times New Roman"/>
          <w:b/>
          <w:bCs/>
          <w:snapToGrid/>
          <w:kern w:val="2"/>
          <w:sz w:val="30"/>
          <w:szCs w:val="30"/>
          <w:lang w:eastAsia="zh-CN"/>
        </w:rPr>
      </w:pPr>
      <w:bookmarkStart w:id="11" w:name="_Toc5689"/>
      <w:bookmarkStart w:id="12" w:name="_Toc6243"/>
      <w:r>
        <w:rPr>
          <w:rFonts w:hint="default" w:ascii="Times New Roman" w:hAnsi="Times New Roman" w:eastAsia="仿宋" w:cs="Times New Roman"/>
          <w:b/>
          <w:bCs/>
          <w:snapToGrid/>
          <w:kern w:val="2"/>
          <w:sz w:val="30"/>
          <w:szCs w:val="30"/>
          <w:lang w:eastAsia="zh-CN"/>
        </w:rPr>
        <w:t>1.5 评估依据</w:t>
      </w:r>
      <w:bookmarkEnd w:id="11"/>
      <w:bookmarkEnd w:id="12"/>
    </w:p>
    <w:p w14:paraId="0DCE6A42">
      <w:pPr>
        <w:pStyle w:val="3"/>
        <w:widowControl w:val="0"/>
        <w:kinsoku/>
        <w:overflowPunct w:val="0"/>
        <w:topLinePunct/>
        <w:autoSpaceDE/>
        <w:autoSpaceDN/>
        <w:adjustRightInd/>
        <w:snapToGrid/>
        <w:spacing w:before="96" w:beforeLines="40" w:after="120" w:afterLines="50" w:line="360" w:lineRule="auto"/>
        <w:jc w:val="both"/>
        <w:textAlignment w:val="auto"/>
        <w:rPr>
          <w:rFonts w:hint="default" w:ascii="Times New Roman" w:hAnsi="Times New Roman" w:eastAsia="仿宋" w:cs="Times New Roman"/>
          <w:snapToGrid/>
          <w:kern w:val="2"/>
          <w:sz w:val="28"/>
          <w:lang w:eastAsia="zh-CN"/>
        </w:rPr>
      </w:pPr>
      <w:bookmarkStart w:id="13" w:name="_Toc26358"/>
      <w:bookmarkStart w:id="14" w:name="_Toc28036"/>
      <w:bookmarkStart w:id="15" w:name="_Toc11688"/>
      <w:bookmarkStart w:id="16" w:name="_Toc2142"/>
      <w:r>
        <w:rPr>
          <w:rFonts w:hint="default" w:ascii="Times New Roman" w:hAnsi="Times New Roman" w:eastAsia="仿宋" w:cs="Times New Roman"/>
          <w:snapToGrid/>
          <w:kern w:val="2"/>
          <w:sz w:val="28"/>
          <w:lang w:eastAsia="zh-CN"/>
        </w:rPr>
        <w:t>1.5.1 相关法律、法规及政策</w:t>
      </w:r>
      <w:bookmarkEnd w:id="13"/>
      <w:bookmarkEnd w:id="14"/>
      <w:bookmarkEnd w:id="15"/>
      <w:bookmarkEnd w:id="16"/>
    </w:p>
    <w:p w14:paraId="42CF2B5C">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（1）《中华人民共和国环境保护法》，2015 年 1 月 1 日起施行；</w:t>
      </w:r>
    </w:p>
    <w:p w14:paraId="20BF49E8">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（2）《中华人民共和国环境影响评价法》， 2018 年 12 月 29  日修订通过；</w:t>
      </w:r>
    </w:p>
    <w:p w14:paraId="658308D2">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（3）《中华人民共和国土壤污染防治法》， 2019 年 1 月 1  日起施行；</w:t>
      </w:r>
    </w:p>
    <w:p w14:paraId="6EF63B53">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（4）《中华人民共和国固体废物污染环境防治法》，2017 年 11 月 7日修订通过；</w:t>
      </w:r>
    </w:p>
    <w:p w14:paraId="774ED396">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（5）《中华人民共和国水污染防治法》，2017 年 6 月 27  日修订，2018年 1 月 1  日起施行；</w:t>
      </w:r>
    </w:p>
    <w:p w14:paraId="26182C30">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（6）《土壤污染防治行动计划的通知》（国发〔2016〕31 号）；</w:t>
      </w:r>
    </w:p>
    <w:p w14:paraId="0863E94F">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（7）《地下水管理条例》（国令第 748 号），2021 年 12 月 1  日起施行；</w:t>
      </w:r>
    </w:p>
    <w:p w14:paraId="7BFA3431">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（8）《污染地块土壤环境管理办法（试行）》（环保部第 42 号令，自2017 年 7 月 1  日起施行）。</w:t>
      </w:r>
    </w:p>
    <w:p w14:paraId="48B13A5B">
      <w:pPr>
        <w:pStyle w:val="3"/>
        <w:widowControl w:val="0"/>
        <w:kinsoku/>
        <w:overflowPunct w:val="0"/>
        <w:topLinePunct/>
        <w:autoSpaceDE/>
        <w:autoSpaceDN/>
        <w:adjustRightInd/>
        <w:snapToGrid/>
        <w:spacing w:before="96" w:beforeLines="40" w:after="120" w:afterLines="50" w:line="360" w:lineRule="auto"/>
        <w:jc w:val="both"/>
        <w:textAlignment w:val="auto"/>
        <w:rPr>
          <w:rFonts w:hint="default" w:ascii="Times New Roman" w:hAnsi="Times New Roman" w:eastAsia="仿宋" w:cs="Times New Roman"/>
          <w:snapToGrid/>
          <w:kern w:val="2"/>
          <w:sz w:val="28"/>
          <w:lang w:eastAsia="zh-CN"/>
        </w:rPr>
      </w:pPr>
      <w:bookmarkStart w:id="17" w:name="_Toc18662"/>
      <w:bookmarkStart w:id="18" w:name="_Toc14147"/>
      <w:bookmarkStart w:id="19" w:name="_Toc10752"/>
      <w:bookmarkStart w:id="20" w:name="_Toc29141"/>
      <w:r>
        <w:rPr>
          <w:rFonts w:hint="default" w:ascii="Times New Roman" w:hAnsi="Times New Roman" w:eastAsia="仿宋" w:cs="Times New Roman"/>
          <w:snapToGrid/>
          <w:kern w:val="2"/>
          <w:sz w:val="28"/>
          <w:lang w:eastAsia="zh-CN"/>
        </w:rPr>
        <w:t>1.5.2 地方有关法规、规章及规范性文件</w:t>
      </w:r>
      <w:bookmarkEnd w:id="17"/>
      <w:bookmarkEnd w:id="18"/>
      <w:bookmarkEnd w:id="19"/>
      <w:bookmarkEnd w:id="20"/>
    </w:p>
    <w:p w14:paraId="521886F4">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（1）《江苏省土壤污染防治工作方案》（苏政发〔2016〕169  号）；</w:t>
      </w:r>
    </w:p>
    <w:p w14:paraId="11FE2CF0">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（2）《苏州市土壤污染防治工作方案》（苏府〔2017〕102 号）；</w:t>
      </w:r>
    </w:p>
    <w:p w14:paraId="5F0EB50C">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（3）《江苏省土壤污染防治条例》（2022 年 9 月 1  日起施行）；</w:t>
      </w:r>
    </w:p>
    <w:p w14:paraId="52448099">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（4）《江苏省深入打好净土保卫战实施方案》（苏政办发〔2022〕78号）。</w:t>
      </w:r>
    </w:p>
    <w:p w14:paraId="2906555C">
      <w:pPr>
        <w:pStyle w:val="3"/>
        <w:widowControl w:val="0"/>
        <w:kinsoku/>
        <w:overflowPunct w:val="0"/>
        <w:topLinePunct/>
        <w:autoSpaceDE/>
        <w:autoSpaceDN/>
        <w:adjustRightInd/>
        <w:snapToGrid/>
        <w:spacing w:before="96" w:beforeLines="40" w:after="120" w:afterLines="50" w:line="360" w:lineRule="auto"/>
        <w:jc w:val="both"/>
        <w:textAlignment w:val="auto"/>
        <w:rPr>
          <w:rFonts w:hint="default" w:ascii="Times New Roman" w:hAnsi="Times New Roman" w:eastAsia="仿宋" w:cs="Times New Roman"/>
          <w:snapToGrid/>
          <w:kern w:val="2"/>
          <w:sz w:val="28"/>
          <w:lang w:eastAsia="zh-CN"/>
        </w:rPr>
      </w:pPr>
      <w:bookmarkStart w:id="21" w:name="_Toc28029"/>
      <w:bookmarkStart w:id="22" w:name="_Toc17764"/>
      <w:bookmarkStart w:id="23" w:name="_Toc11947"/>
      <w:bookmarkStart w:id="24" w:name="_Toc18038"/>
      <w:r>
        <w:rPr>
          <w:rFonts w:hint="default" w:ascii="Times New Roman" w:hAnsi="Times New Roman" w:eastAsia="仿宋" w:cs="Times New Roman"/>
          <w:snapToGrid/>
          <w:kern w:val="2"/>
          <w:sz w:val="28"/>
          <w:lang w:eastAsia="zh-CN"/>
        </w:rPr>
        <w:t>1.5.3 土壤、地下水相关标准</w:t>
      </w:r>
      <w:bookmarkEnd w:id="21"/>
      <w:bookmarkEnd w:id="22"/>
      <w:bookmarkEnd w:id="23"/>
      <w:bookmarkEnd w:id="24"/>
    </w:p>
    <w:p w14:paraId="730573D9">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（1）《土壤环境质量建设用地土壤污染风险管控标准（试行）》（ GB 36600-2018）；</w:t>
      </w:r>
    </w:p>
    <w:p w14:paraId="333A4C56">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（2）《地下水质量标准》（GB/T 14848-2017）；</w:t>
      </w:r>
    </w:p>
    <w:p w14:paraId="5E8F467F">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（3）《上海市建设用地地下水污染风险管控筛选值补充指标》（沪环土〔2020〕62 号）；</w:t>
      </w:r>
    </w:p>
    <w:p w14:paraId="39906C60">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（4）《城市用地分类与规划建设用地标准》（ GB 50137-2011）。</w:t>
      </w:r>
    </w:p>
    <w:p w14:paraId="749A6A7A">
      <w:pPr>
        <w:pStyle w:val="3"/>
        <w:widowControl w:val="0"/>
        <w:kinsoku/>
        <w:overflowPunct w:val="0"/>
        <w:topLinePunct/>
        <w:autoSpaceDE/>
        <w:autoSpaceDN/>
        <w:adjustRightInd/>
        <w:snapToGrid/>
        <w:spacing w:before="96" w:beforeLines="40" w:after="120" w:afterLines="50" w:line="360" w:lineRule="auto"/>
        <w:jc w:val="both"/>
        <w:textAlignment w:val="auto"/>
        <w:rPr>
          <w:rFonts w:hint="default" w:ascii="Times New Roman" w:hAnsi="Times New Roman" w:eastAsia="仿宋" w:cs="Times New Roman"/>
          <w:snapToGrid/>
          <w:kern w:val="2"/>
          <w:sz w:val="28"/>
          <w:lang w:eastAsia="zh-CN"/>
        </w:rPr>
      </w:pPr>
      <w:bookmarkStart w:id="25" w:name="_Toc3167"/>
      <w:bookmarkStart w:id="26" w:name="_Toc3059"/>
      <w:bookmarkStart w:id="27" w:name="_Toc7618"/>
      <w:bookmarkStart w:id="28" w:name="_Toc11230"/>
      <w:r>
        <w:rPr>
          <w:rFonts w:hint="default" w:ascii="Times New Roman" w:hAnsi="Times New Roman" w:eastAsia="仿宋" w:cs="Times New Roman"/>
          <w:snapToGrid/>
          <w:kern w:val="2"/>
          <w:sz w:val="28"/>
          <w:lang w:eastAsia="zh-CN"/>
        </w:rPr>
        <w:t>1.5.3 相关技术导则和规范</w:t>
      </w:r>
      <w:bookmarkEnd w:id="25"/>
      <w:bookmarkEnd w:id="26"/>
      <w:bookmarkEnd w:id="27"/>
      <w:bookmarkEnd w:id="28"/>
    </w:p>
    <w:p w14:paraId="62F3AEB9">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（1）《建设用地土壤污染状况调查技术导则》（HJ 25.1-2019）；</w:t>
      </w:r>
    </w:p>
    <w:p w14:paraId="3982D855">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（2）《建设用地土壤污染风险评估技术导则》（HJ 25.3-2019）；</w:t>
      </w:r>
    </w:p>
    <w:p w14:paraId="6BB208A5">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（3）《建设用地土壤污染修复目标值制定指南（试行）》环办土壤函〔2022〕488 号</w:t>
      </w:r>
    </w:p>
    <w:p w14:paraId="2802A4FE">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（4）《建设用地土壤环境调查评估技术指南》（环境保护部公告，2017年第 72 号）；</w:t>
      </w:r>
    </w:p>
    <w:p w14:paraId="08807247">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（5）《地下水环境状况调查评价工作指南（试行）》（环办〔2019〕 770 号）</w:t>
      </w:r>
    </w:p>
    <w:p w14:paraId="42ACC4A4">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（6）《环境影响评价技术导则-土壤环境》（HJ 964-2018）；</w:t>
      </w:r>
    </w:p>
    <w:p w14:paraId="79009FEA">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（7）《土壤环境监测技术规范》（HJ/T 166-2004）；</w:t>
      </w:r>
    </w:p>
    <w:p w14:paraId="2803DA22">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（8）《地下水环境监测技术规范》（ HJ 164-2020）；</w:t>
      </w:r>
    </w:p>
    <w:p w14:paraId="36D40339">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（9）《地块土壤和地下水中挥发性有机物采样技术导则》（HJ 1019- 2019）。</w:t>
      </w:r>
    </w:p>
    <w:p w14:paraId="7E8C765F">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（10）《岩土工程勘察规范》（DGJ 32/TJ 208-2016）；</w:t>
      </w:r>
    </w:p>
    <w:p w14:paraId="6DA62474">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（11）《水文水井地质钻探规程》（DZ/T 0148-2014）；</w:t>
      </w:r>
    </w:p>
    <w:p w14:paraId="19D15F6B">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0000FF"/>
          <w:lang w:eastAsia="zh-CN"/>
        </w:rPr>
      </w:pPr>
      <w:r>
        <w:rPr>
          <w:rFonts w:hint="default" w:ascii="Times New Roman" w:hAnsi="Times New Roman" w:eastAsia="仿宋" w:cs="Times New Roman"/>
          <w:color w:val="auto"/>
          <w:spacing w:val="2"/>
          <w:lang w:eastAsia="zh-CN"/>
        </w:rPr>
        <w:t>（12）《土工试验方法标准》（GB/T 50123-2019）。</w:t>
      </w:r>
    </w:p>
    <w:p w14:paraId="1046474B">
      <w:pPr>
        <w:pStyle w:val="3"/>
        <w:widowControl w:val="0"/>
        <w:kinsoku/>
        <w:overflowPunct w:val="0"/>
        <w:topLinePunct/>
        <w:autoSpaceDE/>
        <w:autoSpaceDN/>
        <w:adjustRightInd/>
        <w:snapToGrid/>
        <w:spacing w:before="96" w:beforeLines="40" w:after="120" w:afterLines="50" w:line="360" w:lineRule="auto"/>
        <w:jc w:val="both"/>
        <w:textAlignment w:val="auto"/>
        <w:rPr>
          <w:rFonts w:hint="default" w:ascii="Times New Roman" w:hAnsi="Times New Roman" w:eastAsia="仿宋" w:cs="Times New Roman"/>
          <w:snapToGrid/>
          <w:kern w:val="2"/>
          <w:sz w:val="28"/>
          <w:lang w:eastAsia="zh-CN"/>
        </w:rPr>
      </w:pPr>
      <w:bookmarkStart w:id="29" w:name="_Toc30444"/>
      <w:bookmarkStart w:id="30" w:name="_Toc27266"/>
      <w:bookmarkStart w:id="31" w:name="_Toc32340"/>
      <w:bookmarkStart w:id="32" w:name="_Toc23536"/>
      <w:r>
        <w:rPr>
          <w:rFonts w:hint="default" w:ascii="Times New Roman" w:hAnsi="Times New Roman" w:eastAsia="仿宋" w:cs="Times New Roman"/>
          <w:snapToGrid/>
          <w:kern w:val="2"/>
          <w:sz w:val="28"/>
          <w:lang w:eastAsia="zh-CN"/>
        </w:rPr>
        <w:t>1.5.4 其他文件依据</w:t>
      </w:r>
      <w:bookmarkEnd w:id="29"/>
      <w:bookmarkEnd w:id="30"/>
      <w:bookmarkEnd w:id="31"/>
      <w:bookmarkEnd w:id="32"/>
    </w:p>
    <w:p w14:paraId="7329BD4B">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（1）《苏州风景旅游发展有限公司综合利用废五金、废电子材料 20000吨/年；焚烧处置危险废物 20000 吨/年；处置利用含铜蚀刻废液 10000 吨/年；预处理含铜污泥 15000 吨/年项目环境影响后评价报告》（2014 年 7 月）；</w:t>
      </w:r>
    </w:p>
    <w:p w14:paraId="234FD72A">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（2）《苏州风景旅游发展有限公司拆除活动污染防治方案》（2020 年9 月）；</w:t>
      </w:r>
    </w:p>
    <w:p w14:paraId="48FE35E8">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（3）《苏州风景旅游发展有限公司拆除活动突发环境事件应急预案》 （2020 年 9 月）；</w:t>
      </w:r>
    </w:p>
    <w:p w14:paraId="5B66E257">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（4）《昆山鹿城垃圾发电有限公司扩建项目环境影响报告书（报批稿）》 （2008 年 9 月）；</w:t>
      </w:r>
    </w:p>
    <w:p w14:paraId="15061460">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（5）《昆山鹿城垃圾发电有限公司技改项目环境影响报告表》（ 2016年 3 月）；</w:t>
      </w:r>
    </w:p>
    <w:p w14:paraId="25486884">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（6）《昆山市靖丰固废处理有限公司污泥处理结构调整及提标、除臭技改项目环境影响报告书》（2015 年 8 月）；</w:t>
      </w:r>
    </w:p>
    <w:p w14:paraId="65DE47EC">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（7）《昆山市巴城镇总体规划》（2012-2030）；</w:t>
      </w:r>
    </w:p>
    <w:p w14:paraId="1B7A1CE0">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（8）《苏州风景旅游发展有限公司关停项目地块土壤污染状况调查报告》（江苏绿泰检测科技有限公司，2021 年 4 月）；</w:t>
      </w:r>
    </w:p>
    <w:p w14:paraId="36B285AF">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pPr>
      <w:r>
        <w:rPr>
          <w:rFonts w:hint="default" w:ascii="Times New Roman" w:hAnsi="Times New Roman" w:eastAsia="仿宋" w:cs="Times New Roman"/>
          <w:color w:val="auto"/>
          <w:spacing w:val="2"/>
          <w:lang w:eastAsia="zh-CN"/>
        </w:rPr>
        <w:t>（9）《苏州风景旅游发展有限公司地块土壤污染状况调查报告》（江苏中宜金大分析检测有限公司，2022 年 8 月）。</w:t>
      </w:r>
    </w:p>
    <w:p w14:paraId="79BF48E9">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auto"/>
          <w:spacing w:val="2"/>
          <w:lang w:eastAsia="zh-CN"/>
        </w:rPr>
        <w:sectPr>
          <w:headerReference r:id="rId9" w:type="default"/>
          <w:footerReference r:id="rId10" w:type="default"/>
          <w:pgSz w:w="11905" w:h="16838"/>
          <w:pgMar w:top="1440" w:right="1803" w:bottom="1440" w:left="1803" w:header="833" w:footer="1123" w:gutter="0"/>
          <w:cols w:space="0" w:num="1"/>
        </w:sectPr>
      </w:pPr>
    </w:p>
    <w:p w14:paraId="3A5D17A5">
      <w:pPr>
        <w:kinsoku/>
        <w:overflowPunct w:val="0"/>
        <w:topLinePunct/>
        <w:autoSpaceDE/>
        <w:autoSpaceDN/>
        <w:adjustRightInd/>
        <w:snapToGrid/>
        <w:spacing w:before="120" w:after="120" w:line="360" w:lineRule="auto"/>
        <w:jc w:val="center"/>
        <w:textAlignment w:val="auto"/>
        <w:outlineLvl w:val="0"/>
        <w:rPr>
          <w:rFonts w:hint="default" w:ascii="Times New Roman" w:hAnsi="Times New Roman" w:eastAsia="仿宋" w:cs="Times New Roman"/>
          <w:b/>
          <w:bCs/>
          <w:snapToGrid/>
          <w:kern w:val="2"/>
          <w:sz w:val="30"/>
          <w:szCs w:val="30"/>
          <w:lang w:eastAsia="zh-CN"/>
        </w:rPr>
      </w:pPr>
      <w:bookmarkStart w:id="33" w:name="_Toc9882"/>
      <w:bookmarkStart w:id="34" w:name="_Toc21958"/>
      <w:r>
        <w:rPr>
          <w:rFonts w:hint="default" w:ascii="Times New Roman" w:hAnsi="Times New Roman" w:eastAsia="仿宋" w:cs="Times New Roman"/>
          <w:b/>
          <w:bCs/>
          <w:snapToGrid/>
          <w:kern w:val="2"/>
          <w:sz w:val="30"/>
          <w:szCs w:val="30"/>
          <w:lang w:eastAsia="zh-CN"/>
        </w:rPr>
        <w:t>2 地块概况</w:t>
      </w:r>
      <w:bookmarkEnd w:id="33"/>
      <w:bookmarkEnd w:id="34"/>
    </w:p>
    <w:p w14:paraId="2060D84E">
      <w:pPr>
        <w:kinsoku/>
        <w:overflowPunct w:val="0"/>
        <w:topLinePunct/>
        <w:autoSpaceDE/>
        <w:autoSpaceDN/>
        <w:adjustRightInd/>
        <w:snapToGrid/>
        <w:spacing w:before="120" w:after="120" w:line="360" w:lineRule="auto"/>
        <w:jc w:val="both"/>
        <w:textAlignment w:val="auto"/>
        <w:outlineLvl w:val="1"/>
        <w:rPr>
          <w:rFonts w:hint="default" w:ascii="Times New Roman" w:hAnsi="Times New Roman" w:eastAsia="仿宋" w:cs="Times New Roman"/>
          <w:b/>
          <w:bCs/>
          <w:snapToGrid/>
          <w:kern w:val="2"/>
          <w:sz w:val="30"/>
          <w:szCs w:val="30"/>
          <w:lang w:eastAsia="zh-CN"/>
        </w:rPr>
      </w:pPr>
      <w:bookmarkStart w:id="35" w:name="_Toc13693"/>
      <w:bookmarkStart w:id="36" w:name="_Toc795"/>
      <w:r>
        <w:rPr>
          <w:rFonts w:hint="default" w:ascii="Times New Roman" w:hAnsi="Times New Roman" w:eastAsia="仿宋" w:cs="Times New Roman"/>
          <w:b/>
          <w:bCs/>
          <w:snapToGrid/>
          <w:kern w:val="2"/>
          <w:sz w:val="30"/>
          <w:szCs w:val="30"/>
          <w:lang w:eastAsia="zh-CN"/>
        </w:rPr>
        <w:t>2.1  区域环境概况</w:t>
      </w:r>
      <w:bookmarkEnd w:id="35"/>
      <w:bookmarkEnd w:id="36"/>
    </w:p>
    <w:p w14:paraId="3E56E720">
      <w:pPr>
        <w:pStyle w:val="3"/>
        <w:widowControl w:val="0"/>
        <w:kinsoku/>
        <w:overflowPunct w:val="0"/>
        <w:topLinePunct/>
        <w:autoSpaceDE/>
        <w:autoSpaceDN/>
        <w:adjustRightInd/>
        <w:snapToGrid/>
        <w:spacing w:before="124" w:beforeLines="40" w:after="156" w:afterLines="50" w:line="360" w:lineRule="auto"/>
        <w:jc w:val="both"/>
        <w:textAlignment w:val="auto"/>
        <w:rPr>
          <w:rFonts w:hint="default" w:ascii="Times New Roman" w:hAnsi="Times New Roman" w:eastAsia="仿宋" w:cs="Times New Roman"/>
          <w:snapToGrid/>
          <w:kern w:val="2"/>
          <w:sz w:val="28"/>
          <w:lang w:eastAsia="zh-CN"/>
        </w:rPr>
      </w:pPr>
      <w:bookmarkStart w:id="37" w:name="_Toc17545"/>
      <w:bookmarkStart w:id="38" w:name="_Toc13677"/>
      <w:bookmarkStart w:id="39" w:name="_Toc8160"/>
      <w:bookmarkStart w:id="40" w:name="_Toc17068"/>
      <w:r>
        <w:rPr>
          <w:rFonts w:hint="default" w:ascii="Times New Roman" w:hAnsi="Times New Roman" w:eastAsia="仿宋" w:cs="Times New Roman"/>
          <w:snapToGrid/>
          <w:kern w:val="2"/>
          <w:sz w:val="28"/>
          <w:lang w:eastAsia="zh-CN"/>
        </w:rPr>
        <w:t>2.1.1 地理位置</w:t>
      </w:r>
      <w:bookmarkEnd w:id="37"/>
      <w:bookmarkEnd w:id="38"/>
      <w:bookmarkEnd w:id="39"/>
      <w:bookmarkEnd w:id="40"/>
    </w:p>
    <w:p w14:paraId="26ED98B5">
      <w:pPr>
        <w:pStyle w:val="8"/>
        <w:kinsoku/>
        <w:overflowPunct w:val="0"/>
        <w:topLinePunct/>
        <w:autoSpaceDE/>
        <w:autoSpaceDN/>
        <w:spacing w:line="365" w:lineRule="auto"/>
        <w:ind w:left="40" w:right="23" w:firstLine="561"/>
        <w:jc w:val="both"/>
        <w:rPr>
          <w:rFonts w:hint="default" w:ascii="Times New Roman" w:hAnsi="Times New Roman" w:eastAsia="仿宋" w:cs="Times New Roman"/>
          <w:color w:val="0000FF"/>
          <w:lang w:eastAsia="zh-CN"/>
        </w:rPr>
      </w:pPr>
      <w:r>
        <w:rPr>
          <w:rFonts w:hint="default" w:ascii="Times New Roman" w:hAnsi="Times New Roman" w:eastAsia="仿宋" w:cs="Times New Roman"/>
          <w:color w:val="auto"/>
          <w:spacing w:val="2"/>
          <w:lang w:eastAsia="zh-CN"/>
        </w:rPr>
        <w:t>苏州市，江苏省辖地级市、特大城市，位于中国华东地区，江苏省东南部，东傍上海，南接浙江，西抱太湖，北依长江，总面积8657.32平方公里。水、陆、空交通便捷，有沪宁、京沪、苏州绕城、苏沪机场路、苏嘉杭甬等高速公路穿越境内；其他高等级公路有312国道、318国道、204省道；到上海虹桥国际机场仅80km，距上海浦东国际机场140km。水陆运输有京杭运河、上海港、张家港。</w:t>
      </w:r>
    </w:p>
    <w:p w14:paraId="040828AE">
      <w:pPr>
        <w:pStyle w:val="3"/>
        <w:widowControl w:val="0"/>
        <w:kinsoku/>
        <w:overflowPunct w:val="0"/>
        <w:topLinePunct/>
        <w:autoSpaceDE/>
        <w:autoSpaceDN/>
        <w:adjustRightInd/>
        <w:snapToGrid/>
        <w:spacing w:before="124" w:beforeLines="40" w:after="156" w:afterLines="50" w:line="360" w:lineRule="auto"/>
        <w:jc w:val="both"/>
        <w:textAlignment w:val="auto"/>
        <w:rPr>
          <w:rFonts w:hint="default" w:ascii="Times New Roman" w:hAnsi="Times New Roman" w:eastAsia="仿宋" w:cs="Times New Roman"/>
          <w:snapToGrid/>
          <w:kern w:val="2"/>
          <w:sz w:val="28"/>
          <w:lang w:eastAsia="zh-CN"/>
        </w:rPr>
      </w:pPr>
      <w:bookmarkStart w:id="41" w:name="bookmark1"/>
      <w:bookmarkEnd w:id="41"/>
      <w:bookmarkStart w:id="42" w:name="_Toc11902"/>
      <w:bookmarkStart w:id="43" w:name="_Toc20732"/>
      <w:bookmarkStart w:id="44" w:name="_Toc28498"/>
      <w:bookmarkStart w:id="45" w:name="_Toc26154"/>
      <w:r>
        <w:rPr>
          <w:rFonts w:hint="default" w:ascii="Times New Roman" w:hAnsi="Times New Roman" w:eastAsia="仿宋" w:cs="Times New Roman"/>
          <w:snapToGrid/>
          <w:kern w:val="2"/>
          <w:sz w:val="28"/>
          <w:lang w:eastAsia="zh-CN"/>
        </w:rPr>
        <w:t>2.1.2 地形地貌</w:t>
      </w:r>
      <w:bookmarkEnd w:id="42"/>
      <w:bookmarkEnd w:id="43"/>
      <w:bookmarkEnd w:id="44"/>
      <w:bookmarkEnd w:id="45"/>
    </w:p>
    <w:p w14:paraId="480D5548">
      <w:pPr>
        <w:pStyle w:val="8"/>
        <w:kinsoku/>
        <w:overflowPunct w:val="0"/>
        <w:topLinePunct/>
        <w:autoSpaceDE/>
        <w:autoSpaceDN/>
        <w:spacing w:before="106" w:line="360" w:lineRule="auto"/>
        <w:ind w:left="35" w:firstLine="568" w:firstLineChars="200"/>
        <w:rPr>
          <w:rFonts w:hint="default" w:ascii="Times New Roman" w:hAnsi="Times New Roman" w:eastAsia="仿宋" w:cs="Times New Roman"/>
          <w:color w:val="auto"/>
          <w:spacing w:val="2"/>
          <w:lang w:eastAsia="zh-CN"/>
        </w:rPr>
      </w:pPr>
      <w:bookmarkStart w:id="46" w:name="_Toc29656"/>
      <w:r>
        <w:rPr>
          <w:rFonts w:hint="default" w:ascii="Times New Roman" w:hAnsi="Times New Roman" w:eastAsia="仿宋" w:cs="Times New Roman"/>
          <w:color w:val="auto"/>
          <w:spacing w:val="2"/>
          <w:lang w:eastAsia="zh-CN"/>
        </w:rPr>
        <w:t>苏州市位于长江冲积平原，地势平坦，地面标高在4.2~4.5m左右，该区域位于新华夏和第二巨形隆起带与秦岭东面向复杂构造带东延的复合部位，属原古代形成的华南地台，地表为新生代第四纪的松散沉积层堆积，该地属于“太湖稳定景区”，地质构造体比较完整，断裂构造不发育，基底岩系刚性程度低，第四世纪以来，特别是最近一万年（全新统）以来，无活动性断裂，地震活动少且强度小，周边无强地震带通过。而姑苏区以平缓平原为主，地势低平，自西向东缓慢倾斜，平原的海拔高度3~4m，阳澄湖和吴江一带仅2m。</w:t>
      </w:r>
    </w:p>
    <w:p w14:paraId="428D7C3B">
      <w:pPr>
        <w:pStyle w:val="3"/>
        <w:widowControl w:val="0"/>
        <w:kinsoku/>
        <w:overflowPunct w:val="0"/>
        <w:topLinePunct/>
        <w:autoSpaceDE/>
        <w:autoSpaceDN/>
        <w:adjustRightInd/>
        <w:snapToGrid/>
        <w:spacing w:before="124" w:beforeLines="40" w:after="156" w:afterLines="50" w:line="360" w:lineRule="auto"/>
        <w:jc w:val="both"/>
        <w:textAlignment w:val="auto"/>
        <w:rPr>
          <w:rFonts w:hint="default" w:ascii="Times New Roman" w:hAnsi="Times New Roman" w:eastAsia="仿宋" w:cs="Times New Roman"/>
          <w:snapToGrid/>
          <w:kern w:val="2"/>
          <w:sz w:val="28"/>
          <w:lang w:eastAsia="zh-CN"/>
        </w:rPr>
      </w:pPr>
      <w:bookmarkStart w:id="47" w:name="_Toc10218"/>
      <w:bookmarkStart w:id="48" w:name="_Toc5704"/>
      <w:bookmarkStart w:id="49" w:name="_Toc3214"/>
      <w:r>
        <w:rPr>
          <w:rFonts w:hint="default" w:ascii="Times New Roman" w:hAnsi="Times New Roman" w:eastAsia="仿宋" w:cs="Times New Roman"/>
          <w:snapToGrid/>
          <w:kern w:val="2"/>
          <w:sz w:val="28"/>
          <w:lang w:eastAsia="zh-CN"/>
        </w:rPr>
        <w:t>2.1.3 气候气象</w:t>
      </w:r>
      <w:bookmarkEnd w:id="46"/>
      <w:bookmarkEnd w:id="47"/>
      <w:bookmarkEnd w:id="48"/>
      <w:bookmarkEnd w:id="49"/>
    </w:p>
    <w:p w14:paraId="48E3AB71">
      <w:pPr>
        <w:kinsoku/>
        <w:overflowPunct w:val="0"/>
        <w:topLinePunct/>
        <w:autoSpaceDE/>
        <w:autoSpaceDN/>
        <w:spacing w:line="360" w:lineRule="auto"/>
        <w:ind w:firstLine="568" w:firstLineChars="200"/>
        <w:jc w:val="both"/>
        <w:rPr>
          <w:rFonts w:hint="default" w:ascii="Times New Roman" w:hAnsi="Times New Roman" w:eastAsia="仿宋" w:cs="Times New Roman"/>
          <w:color w:val="auto"/>
          <w:spacing w:val="2"/>
          <w:sz w:val="28"/>
          <w:szCs w:val="28"/>
          <w:lang w:eastAsia="zh-CN"/>
        </w:rPr>
      </w:pPr>
      <w:bookmarkStart w:id="50" w:name="_Toc7062"/>
      <w:r>
        <w:rPr>
          <w:rFonts w:hint="default" w:ascii="Times New Roman" w:hAnsi="Times New Roman" w:eastAsia="仿宋" w:cs="Times New Roman"/>
          <w:color w:val="auto"/>
          <w:spacing w:val="2"/>
          <w:sz w:val="28"/>
          <w:szCs w:val="28"/>
          <w:lang w:eastAsia="zh-CN"/>
        </w:rPr>
        <w:t>苏州属北亚热带湿润性季风气候，受太湖水体的调节影响，四季分明，温暖湿润，降水丰富，日照充足。最冷月为1月，月平均气温3.3℃，最热月为7月，月平均气温28.6℃。年平均最高温度为17℃，年平均最低温度为15℃，年平均温度为16℃。历史最高温度为39.3℃，历史最低温度-8.7℃。历年平均日照数为2189h，平均日照率为49%，年最高日照数为2352.5h，日照率为53%，年最低日照时数为1176h，日照率为40%，年无霜日为300天，年平均降水量为1096.9mm，最高年份降水量为1467.2mm，最低年份降水量为772.6mm，日最大降水量为291.8mm，年最多雨日有149mm。降水量以夏季最多，约占全年降水量的45%。年均风速3.0米/秒，以东南风为主。年平均气压1016hPa。</w:t>
      </w:r>
    </w:p>
    <w:p w14:paraId="6134D6E1">
      <w:pPr>
        <w:pStyle w:val="3"/>
        <w:widowControl w:val="0"/>
        <w:kinsoku/>
        <w:overflowPunct w:val="0"/>
        <w:topLinePunct/>
        <w:autoSpaceDE/>
        <w:autoSpaceDN/>
        <w:adjustRightInd/>
        <w:snapToGrid/>
        <w:spacing w:before="124" w:beforeLines="40" w:after="156" w:afterLines="50" w:line="360" w:lineRule="auto"/>
        <w:jc w:val="both"/>
        <w:textAlignment w:val="auto"/>
        <w:rPr>
          <w:rFonts w:hint="default" w:ascii="Times New Roman" w:hAnsi="Times New Roman" w:eastAsia="仿宋" w:cs="Times New Roman"/>
          <w:snapToGrid/>
          <w:kern w:val="2"/>
          <w:sz w:val="28"/>
          <w:lang w:eastAsia="zh-CN"/>
        </w:rPr>
      </w:pPr>
      <w:bookmarkStart w:id="51" w:name="_Toc19996"/>
      <w:bookmarkStart w:id="52" w:name="_Toc29918"/>
      <w:bookmarkStart w:id="53" w:name="_Toc4012"/>
      <w:r>
        <w:rPr>
          <w:rFonts w:hint="default" w:ascii="Times New Roman" w:hAnsi="Times New Roman" w:eastAsia="仿宋" w:cs="Times New Roman"/>
          <w:snapToGrid/>
          <w:kern w:val="2"/>
          <w:sz w:val="28"/>
          <w:lang w:eastAsia="zh-CN"/>
        </w:rPr>
        <w:t>2.1.4 水文</w:t>
      </w:r>
      <w:bookmarkEnd w:id="50"/>
      <w:r>
        <w:rPr>
          <w:rFonts w:hint="default" w:ascii="Times New Roman" w:hAnsi="Times New Roman" w:eastAsia="仿宋" w:cs="Times New Roman"/>
          <w:snapToGrid/>
          <w:kern w:val="2"/>
          <w:sz w:val="28"/>
          <w:lang w:eastAsia="zh-CN"/>
        </w:rPr>
        <w:t>概况</w:t>
      </w:r>
      <w:bookmarkEnd w:id="51"/>
      <w:bookmarkEnd w:id="52"/>
      <w:bookmarkEnd w:id="53"/>
    </w:p>
    <w:p w14:paraId="432464DB">
      <w:pPr>
        <w:kinsoku/>
        <w:overflowPunct w:val="0"/>
        <w:topLinePunct/>
        <w:autoSpaceDE/>
        <w:autoSpaceDN/>
        <w:spacing w:line="360" w:lineRule="auto"/>
        <w:ind w:firstLine="562" w:firstLineChars="200"/>
        <w:jc w:val="both"/>
        <w:rPr>
          <w:rFonts w:hint="default" w:ascii="Times New Roman" w:hAnsi="Times New Roman" w:eastAsia="仿宋" w:cs="Times New Roman"/>
          <w:sz w:val="28"/>
          <w:szCs w:val="28"/>
          <w:lang w:eastAsia="zh-CN" w:bidi="ar"/>
        </w:rPr>
      </w:pPr>
      <w:r>
        <w:rPr>
          <w:rFonts w:hint="default" w:ascii="Times New Roman" w:hAnsi="Times New Roman" w:eastAsia="仿宋" w:cs="Times New Roman"/>
          <w:b/>
          <w:bCs/>
          <w:sz w:val="28"/>
          <w:szCs w:val="28"/>
          <w:lang w:eastAsia="zh-CN" w:bidi="ar"/>
        </w:rPr>
        <w:t>根据地质分析，苏州市整个区域可划分为四个工程地质分区：</w:t>
      </w:r>
      <w:r>
        <w:rPr>
          <w:rFonts w:hint="default" w:ascii="Times New Roman" w:hAnsi="Times New Roman" w:eastAsia="仿宋" w:cs="Times New Roman"/>
          <w:sz w:val="28"/>
          <w:szCs w:val="28"/>
          <w:lang w:eastAsia="zh-CN" w:bidi="ar"/>
        </w:rPr>
        <w:t>（1）基岩山丘工程地质区，其中还可分为坡度舒缓基岩山丘工程地质亚区和高营孤立基岩山丘工程地质亚区；（2）冲积湖平原工程地质区；（3）人工堆积地貌工程地质区；（4）湖、沼地工程地质区。苏州姑苏区基岩基本为山区工程地质区。</w:t>
      </w:r>
    </w:p>
    <w:p w14:paraId="663E0DB5">
      <w:pPr>
        <w:kinsoku/>
        <w:overflowPunct w:val="0"/>
        <w:topLinePunct/>
        <w:autoSpaceDE/>
        <w:autoSpaceDN/>
        <w:spacing w:line="360" w:lineRule="auto"/>
        <w:ind w:firstLine="560" w:firstLineChars="200"/>
        <w:jc w:val="both"/>
        <w:rPr>
          <w:rFonts w:hint="default" w:ascii="Times New Roman" w:hAnsi="Times New Roman" w:eastAsia="仿宋" w:cs="Times New Roman"/>
          <w:sz w:val="28"/>
          <w:szCs w:val="28"/>
          <w:lang w:eastAsia="zh-CN" w:bidi="ar"/>
        </w:rPr>
      </w:pPr>
      <w:r>
        <w:rPr>
          <w:rFonts w:hint="default" w:ascii="Times New Roman" w:hAnsi="Times New Roman" w:eastAsia="仿宋" w:cs="Times New Roman"/>
          <w:sz w:val="28"/>
          <w:szCs w:val="28"/>
          <w:lang w:eastAsia="zh-CN" w:bidi="ar"/>
        </w:rPr>
        <w:t>苏州地势总体呈西南高而东北低展布，平原区地面高程一般在吴淞基面以上2~5m。苏州市地下水资源分区隶属长江下游地下水资源区的太湖平原水资源亚区。可分为两个地下水资源次亚区，即：西部环太湖丘陵地下水资源次亚区、东部平原地下水资源次亚区。其中西部环太湖丘陵的丘陵地下水资源次亚区指西部基岩出露区，主要分布在浒墅关-苏州市-长桥一线以西及东山、西山地区，按赋存条件可分划分为碳酸盐岩类裂隙水、碎屑岩类裂隙水和火成岩类裂隙水，面积约为225km</w:t>
      </w:r>
      <w:r>
        <w:rPr>
          <w:rFonts w:hint="default" w:ascii="Times New Roman" w:hAnsi="Times New Roman" w:eastAsia="仿宋" w:cs="Times New Roman"/>
          <w:sz w:val="28"/>
          <w:szCs w:val="28"/>
          <w:vertAlign w:val="superscript"/>
          <w:lang w:eastAsia="zh-CN" w:bidi="ar"/>
        </w:rPr>
        <w:t>2</w:t>
      </w:r>
      <w:r>
        <w:rPr>
          <w:rFonts w:hint="default" w:ascii="Times New Roman" w:hAnsi="Times New Roman" w:eastAsia="仿宋" w:cs="Times New Roman"/>
          <w:sz w:val="28"/>
          <w:szCs w:val="28"/>
          <w:lang w:eastAsia="zh-CN" w:bidi="ar"/>
        </w:rPr>
        <w:t>。东部平原地下水资源次亚区指除基岩出露区外的平原地区，属我国典型的水网平原地区，面积约2372km</w:t>
      </w:r>
      <w:r>
        <w:rPr>
          <w:rFonts w:hint="default" w:ascii="Times New Roman" w:hAnsi="Times New Roman" w:eastAsia="仿宋" w:cs="Times New Roman"/>
          <w:sz w:val="28"/>
          <w:szCs w:val="28"/>
          <w:vertAlign w:val="superscript"/>
          <w:lang w:eastAsia="zh-CN" w:bidi="ar"/>
        </w:rPr>
        <w:t>2</w:t>
      </w:r>
      <w:r>
        <w:rPr>
          <w:rFonts w:hint="default" w:ascii="Times New Roman" w:hAnsi="Times New Roman" w:eastAsia="仿宋" w:cs="Times New Roman"/>
          <w:sz w:val="28"/>
          <w:szCs w:val="28"/>
          <w:lang w:eastAsia="zh-CN" w:bidi="ar"/>
        </w:rPr>
        <w:t>；第四纪松散层广泛分布发育，沉积厚度自西向东从10m至210m，其间发育有四个含水层组，即潜水含水层，第Ⅰ、Ⅱ、Ⅲ承压含水层。</w:t>
      </w:r>
    </w:p>
    <w:p w14:paraId="75A0C506">
      <w:pPr>
        <w:kinsoku/>
        <w:overflowPunct w:val="0"/>
        <w:topLinePunct/>
        <w:autoSpaceDE/>
        <w:autoSpaceDN/>
        <w:spacing w:line="360" w:lineRule="auto"/>
        <w:ind w:firstLine="560" w:firstLineChars="200"/>
        <w:rPr>
          <w:rFonts w:hint="default" w:ascii="Times New Roman" w:hAnsi="Times New Roman" w:eastAsia="仿宋" w:cs="Times New Roman"/>
          <w:sz w:val="28"/>
          <w:szCs w:val="28"/>
          <w:lang w:eastAsia="zh-CN" w:bidi="ar"/>
        </w:rPr>
      </w:pPr>
      <w:r>
        <w:rPr>
          <w:rFonts w:hint="default" w:ascii="Times New Roman" w:hAnsi="Times New Roman" w:eastAsia="仿宋" w:cs="Times New Roman"/>
          <w:sz w:val="28"/>
          <w:szCs w:val="28"/>
          <w:lang w:eastAsia="zh-CN" w:bidi="ar"/>
        </w:rPr>
        <w:t>苏州市地处长江和太湖下游，水域广阔，地势低平，境内河港交织，湖荡棋布，计有大小河道2万余条，湖泊荡漾321个，水域面积3609平方公里，占国土总面积的42.5%，水陆比达44.5%，属典型的江南水乡城市。属于我国水资源最丰富的地区之一，在水资源总量中，当地径流有限，入境水量比重很大。平水年时外来水量占水资源总量的60%，枯水年比重更大。</w:t>
      </w:r>
    </w:p>
    <w:p w14:paraId="33B36314">
      <w:pPr>
        <w:kinsoku/>
        <w:overflowPunct w:val="0"/>
        <w:topLinePunct/>
        <w:autoSpaceDE/>
        <w:autoSpaceDN/>
        <w:spacing w:line="360" w:lineRule="auto"/>
        <w:ind w:firstLine="562" w:firstLineChars="200"/>
        <w:rPr>
          <w:rFonts w:hint="default" w:ascii="Times New Roman" w:hAnsi="Times New Roman" w:eastAsia="仿宋" w:cs="Times New Roman"/>
          <w:b/>
          <w:bCs/>
          <w:sz w:val="28"/>
          <w:szCs w:val="28"/>
          <w:lang w:eastAsia="zh-CN" w:bidi="ar"/>
        </w:rPr>
      </w:pPr>
      <w:r>
        <w:rPr>
          <w:rFonts w:hint="default" w:ascii="Times New Roman" w:hAnsi="Times New Roman" w:eastAsia="仿宋" w:cs="Times New Roman"/>
          <w:b/>
          <w:bCs/>
          <w:sz w:val="28"/>
          <w:szCs w:val="28"/>
          <w:lang w:eastAsia="zh-CN" w:bidi="ar"/>
        </w:rPr>
        <w:t>苏州站历年观测资料统计，水文情况如下：</w:t>
      </w:r>
    </w:p>
    <w:p w14:paraId="03ECBF53">
      <w:pPr>
        <w:kinsoku/>
        <w:overflowPunct w:val="0"/>
        <w:topLinePunct/>
        <w:autoSpaceDE/>
        <w:autoSpaceDN/>
        <w:spacing w:line="360" w:lineRule="auto"/>
        <w:ind w:firstLine="560" w:firstLineChars="200"/>
        <w:jc w:val="both"/>
        <w:rPr>
          <w:rFonts w:hint="default" w:ascii="Times New Roman" w:hAnsi="Times New Roman" w:eastAsia="仿宋" w:cs="Times New Roman"/>
          <w:sz w:val="28"/>
          <w:szCs w:val="28"/>
          <w:lang w:eastAsia="zh-CN" w:bidi="ar"/>
        </w:rPr>
      </w:pPr>
      <w:r>
        <w:rPr>
          <w:rFonts w:hint="default" w:ascii="Times New Roman" w:hAnsi="Times New Roman" w:eastAsia="仿宋" w:cs="Times New Roman"/>
          <w:sz w:val="28"/>
          <w:szCs w:val="28"/>
          <w:lang w:eastAsia="zh-CN" w:bidi="ar"/>
        </w:rPr>
        <w:t>平均水位（吴淞标高）：2.82m；最高年平均水位：3.27m；最低年平均水位：2.28m；历史最高水位：4.37m；历史最低水位：1.89m；地表水位历年年平均值：3.60～3.0m。</w:t>
      </w:r>
    </w:p>
    <w:p w14:paraId="2C748A73">
      <w:pPr>
        <w:kinsoku/>
        <w:overflowPunct w:val="0"/>
        <w:topLinePunct/>
        <w:autoSpaceDE/>
        <w:autoSpaceDN/>
        <w:spacing w:line="360" w:lineRule="auto"/>
        <w:ind w:firstLine="560" w:firstLineChars="200"/>
        <w:jc w:val="both"/>
        <w:rPr>
          <w:rFonts w:hint="default" w:ascii="Times New Roman" w:hAnsi="Times New Roman" w:eastAsia="仿宋" w:cs="Times New Roman"/>
          <w:sz w:val="28"/>
          <w:szCs w:val="28"/>
          <w:lang w:eastAsia="zh-CN" w:bidi="ar"/>
        </w:rPr>
      </w:pPr>
      <w:r>
        <w:rPr>
          <w:rFonts w:hint="default" w:ascii="Times New Roman" w:hAnsi="Times New Roman" w:eastAsia="仿宋" w:cs="Times New Roman"/>
          <w:sz w:val="28"/>
          <w:szCs w:val="28"/>
          <w:lang w:eastAsia="zh-CN" w:bidi="ar"/>
        </w:rPr>
        <w:t>姑苏区地势西高东低，区内大部分为古城区，境内水网密布，四季分明，位于太湖下委水系之中，境内大小河道总共19条，全长45.73公里，为水系网络发达区。区内河道以古城区东、北方向的环城河为界分内外河道。环城河以内是市内河道，现存南北向主要河道3条，东西向河道2条，这些河流水位落差小，补给水量少，流速缓慢，流向自南向北，自西向东出境。外城河上接苏州市区西北面来自京杭大运河之水，绕经齐门、平门、娄门、相门而过。至齐门沟通元和塘，至娄门入娄江，至相门后流入相门塘。环城河宽30~100米，底宽15~40米。枯水时水深25米左右，平均水深2.8米，流速通常在0.1米/秒以下，齐门、娄门、相门等处通向环城河的河口均设泵闸，调节进出水，控制水速，使污水得到冲刷。环城河外自西北向东南有十字洋河、元和塘、官渎港、娄江、相门塘。</w:t>
      </w:r>
    </w:p>
    <w:p w14:paraId="0DF03991">
      <w:pPr>
        <w:kinsoku/>
        <w:overflowPunct w:val="0"/>
        <w:topLinePunct/>
        <w:autoSpaceDE/>
        <w:autoSpaceDN/>
        <w:spacing w:line="360" w:lineRule="auto"/>
        <w:ind w:firstLine="560" w:firstLineChars="200"/>
        <w:jc w:val="both"/>
        <w:rPr>
          <w:rFonts w:hint="default" w:ascii="Times New Roman" w:hAnsi="Times New Roman" w:eastAsia="仿宋" w:cs="Times New Roman"/>
          <w:sz w:val="28"/>
          <w:szCs w:val="28"/>
          <w:lang w:eastAsia="zh-CN" w:bidi="ar"/>
        </w:rPr>
      </w:pPr>
      <w:r>
        <w:rPr>
          <w:rFonts w:hint="default" w:ascii="Times New Roman" w:hAnsi="Times New Roman" w:eastAsia="仿宋" w:cs="Times New Roman"/>
          <w:sz w:val="28"/>
          <w:szCs w:val="28"/>
          <w:lang w:eastAsia="zh-CN" w:bidi="ar"/>
        </w:rPr>
        <w:t>根据省生态环境厅省关于印发《江苏省地表水（环境）功能区划（2021-2030年）》的通知（苏环办〔2022〕82号），西塘河为III类地表水，</w:t>
      </w:r>
      <w:r>
        <w:rPr>
          <w:rFonts w:hint="default" w:ascii="Times New Roman" w:hAnsi="Times New Roman" w:eastAsia="仿宋" w:cs="Times New Roman"/>
          <w:sz w:val="28"/>
          <w:szCs w:val="28"/>
          <w:lang w:eastAsia="zh-CN"/>
        </w:rPr>
        <w:t>本项目地块所在区域不属于饮用水源保护区（距离西塘河&gt;50m最近距离约76m）</w:t>
      </w:r>
      <w:r>
        <w:rPr>
          <w:rFonts w:hint="default" w:ascii="Times New Roman" w:hAnsi="Times New Roman" w:eastAsia="仿宋" w:cs="Times New Roman"/>
          <w:sz w:val="28"/>
          <w:szCs w:val="28"/>
          <w:lang w:eastAsia="zh-CN" w:bidi="ar"/>
        </w:rPr>
        <w:t>。</w:t>
      </w:r>
    </w:p>
    <w:p w14:paraId="5E478454">
      <w:pPr>
        <w:kinsoku/>
        <w:overflowPunct w:val="0"/>
        <w:topLinePunct/>
        <w:autoSpaceDE/>
        <w:autoSpaceDN/>
        <w:adjustRightInd/>
        <w:snapToGrid/>
        <w:spacing w:before="120" w:after="120" w:line="360" w:lineRule="auto"/>
        <w:jc w:val="center"/>
        <w:textAlignment w:val="auto"/>
        <w:outlineLvl w:val="0"/>
        <w:rPr>
          <w:rFonts w:hint="default" w:ascii="Times New Roman" w:hAnsi="Times New Roman" w:eastAsia="仿宋" w:cs="Times New Roman"/>
          <w:b/>
          <w:bCs/>
          <w:snapToGrid/>
          <w:kern w:val="2"/>
          <w:sz w:val="30"/>
          <w:szCs w:val="30"/>
          <w:lang w:eastAsia="zh-CN"/>
        </w:rPr>
      </w:pPr>
      <w:bookmarkStart w:id="54" w:name="_Toc16706"/>
      <w:bookmarkStart w:id="55" w:name="_Toc28779"/>
      <w:r>
        <w:rPr>
          <w:rFonts w:hint="default" w:ascii="Times New Roman" w:hAnsi="Times New Roman" w:eastAsia="仿宋" w:cs="Times New Roman"/>
          <w:b/>
          <w:bCs/>
          <w:snapToGrid/>
          <w:kern w:val="2"/>
          <w:sz w:val="30"/>
          <w:szCs w:val="30"/>
          <w:lang w:eastAsia="zh-CN"/>
        </w:rPr>
        <w:t>3 土壤污染状况调查</w:t>
      </w:r>
      <w:bookmarkEnd w:id="54"/>
      <w:bookmarkEnd w:id="55"/>
    </w:p>
    <w:p w14:paraId="78AC76EF">
      <w:pPr>
        <w:kinsoku/>
        <w:overflowPunct w:val="0"/>
        <w:topLinePunct/>
        <w:autoSpaceDE/>
        <w:autoSpaceDN/>
        <w:spacing w:line="360" w:lineRule="auto"/>
        <w:ind w:firstLine="560" w:firstLineChars="200"/>
        <w:jc w:val="both"/>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根据《建设用地土壤污染状况调查技术导则》（HJ 25.1-2019）、《建设用地土壤污染风险管控和修复监测技术导则》（HJ 25.2-2019）、《建设用地土壤环境调查评估技术指南》（公告 2017 年第 72 号），土壤污染状况调查分三个阶段开展。</w:t>
      </w:r>
    </w:p>
    <w:p w14:paraId="1E64E365">
      <w:pPr>
        <w:kinsoku/>
        <w:overflowPunct w:val="0"/>
        <w:topLinePunct/>
        <w:autoSpaceDE/>
        <w:autoSpaceDN/>
        <w:adjustRightInd/>
        <w:snapToGrid/>
        <w:spacing w:before="120" w:after="120" w:line="360" w:lineRule="auto"/>
        <w:jc w:val="center"/>
        <w:textAlignment w:val="auto"/>
        <w:outlineLvl w:val="0"/>
        <w:rPr>
          <w:rFonts w:hint="default" w:ascii="Times New Roman" w:hAnsi="Times New Roman" w:eastAsia="仿宋" w:cs="Times New Roman"/>
          <w:b/>
          <w:bCs/>
          <w:snapToGrid/>
          <w:kern w:val="2"/>
          <w:sz w:val="30"/>
          <w:szCs w:val="30"/>
          <w:lang w:eastAsia="zh-CN"/>
        </w:rPr>
      </w:pPr>
      <w:bookmarkStart w:id="56" w:name="_Toc571"/>
      <w:bookmarkStart w:id="57" w:name="_Toc11441"/>
      <w:r>
        <w:rPr>
          <w:rFonts w:hint="default" w:ascii="Times New Roman" w:hAnsi="Times New Roman" w:eastAsia="仿宋" w:cs="Times New Roman"/>
          <w:b/>
          <w:bCs/>
          <w:snapToGrid/>
          <w:kern w:val="2"/>
          <w:sz w:val="30"/>
          <w:szCs w:val="30"/>
          <w:lang w:eastAsia="zh-CN"/>
        </w:rPr>
        <w:t>4 风险评估阶段补充调查</w:t>
      </w:r>
      <w:bookmarkEnd w:id="56"/>
      <w:bookmarkEnd w:id="57"/>
    </w:p>
    <w:p w14:paraId="1F744B4C">
      <w:pPr>
        <w:kinsoku/>
        <w:overflowPunct w:val="0"/>
        <w:topLinePunct/>
        <w:autoSpaceDE/>
        <w:autoSpaceDN/>
        <w:spacing w:line="360" w:lineRule="auto"/>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snapToGrid/>
          <w:color w:val="auto"/>
          <w:sz w:val="28"/>
          <w:szCs w:val="28"/>
          <w:lang w:eastAsia="zh-CN"/>
        </w:rPr>
        <w:t>由于前期进行的土壤污染状况调查阶段存在多处未完善事项，部分污染区域点位钻探深度未达到详细调查布点要求，未获取风评所需的污染面积情况。在开展风险评估之前需进一步查明地块内污染空间分布情况。</w:t>
      </w:r>
    </w:p>
    <w:p w14:paraId="1A1F502B">
      <w:pPr>
        <w:kinsoku/>
        <w:overflowPunct w:val="0"/>
        <w:topLinePunct/>
        <w:autoSpaceDE/>
        <w:autoSpaceDN/>
        <w:spacing w:before="2" w:line="360" w:lineRule="auto"/>
        <w:ind w:left="34" w:right="79" w:firstLine="560" w:firstLineChars="200"/>
        <w:jc w:val="both"/>
        <w:rPr>
          <w:rFonts w:hint="default" w:ascii="Times New Roman" w:hAnsi="Times New Roman" w:eastAsia="仿宋" w:cs="Times New Roman"/>
          <w:snapToGrid/>
          <w:color w:val="auto"/>
          <w:sz w:val="28"/>
          <w:szCs w:val="28"/>
          <w:lang w:eastAsia="zh-CN"/>
        </w:rPr>
      </w:pPr>
      <w:r>
        <w:rPr>
          <w:rFonts w:hint="default" w:ascii="Times New Roman" w:hAnsi="Times New Roman" w:eastAsia="仿宋" w:cs="Times New Roman"/>
          <w:snapToGrid/>
          <w:color w:val="auto"/>
          <w:spacing w:val="0"/>
          <w:sz w:val="28"/>
          <w:szCs w:val="28"/>
          <w:lang w:eastAsia="zh-CN"/>
        </w:rPr>
        <w:t>补充调查工作于 2025年9月 23日和 2025年 10月 16日两个批次进场开展，第一批次进场主要针对详调结果开展土壤样品钻探加密采集；第二批次进场主要针对风评第一批次检测超标土壤点位进行加密加深采样，精确污染土壤空间分布情况。</w:t>
      </w:r>
      <w:bookmarkStart w:id="58" w:name="bookmark96"/>
      <w:bookmarkEnd w:id="58"/>
    </w:p>
    <w:p w14:paraId="34DD8921">
      <w:pPr>
        <w:kinsoku/>
        <w:overflowPunct w:val="0"/>
        <w:topLinePunct/>
        <w:autoSpaceDE/>
        <w:autoSpaceDN/>
        <w:adjustRightInd/>
        <w:snapToGrid/>
        <w:spacing w:before="120" w:after="120" w:line="360" w:lineRule="auto"/>
        <w:jc w:val="both"/>
        <w:textAlignment w:val="auto"/>
        <w:outlineLvl w:val="1"/>
        <w:rPr>
          <w:rFonts w:hint="default" w:ascii="Times New Roman" w:hAnsi="Times New Roman" w:eastAsia="仿宋" w:cs="Times New Roman"/>
          <w:b/>
          <w:bCs/>
          <w:snapToGrid/>
          <w:kern w:val="2"/>
          <w:sz w:val="30"/>
          <w:szCs w:val="30"/>
          <w:lang w:eastAsia="zh-CN"/>
        </w:rPr>
      </w:pPr>
      <w:bookmarkStart w:id="59" w:name="_Toc9055"/>
      <w:bookmarkStart w:id="60" w:name="_Toc88"/>
      <w:r>
        <w:rPr>
          <w:rFonts w:hint="default" w:ascii="Times New Roman" w:hAnsi="Times New Roman" w:eastAsia="仿宋" w:cs="Times New Roman"/>
          <w:b/>
          <w:bCs/>
          <w:snapToGrid/>
          <w:kern w:val="2"/>
          <w:sz w:val="30"/>
          <w:szCs w:val="30"/>
          <w:lang w:eastAsia="zh-CN"/>
        </w:rPr>
        <w:t>4.2实验室检测分析方案</w:t>
      </w:r>
      <w:bookmarkEnd w:id="59"/>
      <w:bookmarkEnd w:id="60"/>
    </w:p>
    <w:p w14:paraId="31E299AC">
      <w:pPr>
        <w:pStyle w:val="8"/>
        <w:kinsoku/>
        <w:overflowPunct w:val="0"/>
        <w:topLinePunct/>
        <w:autoSpaceDE/>
        <w:autoSpaceDN/>
        <w:spacing w:before="121" w:line="360" w:lineRule="auto"/>
        <w:ind w:left="34"/>
        <w:outlineLvl w:val="2"/>
        <w:rPr>
          <w:rFonts w:hint="default" w:ascii="Times New Roman" w:hAnsi="Times New Roman" w:eastAsia="仿宋" w:cs="Times New Roman"/>
          <w:b/>
          <w:bCs/>
          <w:snapToGrid/>
          <w:kern w:val="2"/>
          <w:szCs w:val="32"/>
          <w:lang w:eastAsia="zh-CN"/>
        </w:rPr>
      </w:pPr>
      <w:bookmarkStart w:id="61" w:name="_Toc13864"/>
      <w:bookmarkStart w:id="62" w:name="_Toc4405"/>
      <w:bookmarkStart w:id="63" w:name="_Toc13612"/>
      <w:bookmarkStart w:id="64" w:name="_Toc26268"/>
      <w:r>
        <w:rPr>
          <w:rFonts w:hint="default" w:ascii="Times New Roman" w:hAnsi="Times New Roman" w:eastAsia="仿宋" w:cs="Times New Roman"/>
          <w:b/>
          <w:bCs/>
          <w:snapToGrid/>
          <w:kern w:val="2"/>
          <w:szCs w:val="32"/>
          <w:lang w:eastAsia="zh-CN"/>
        </w:rPr>
        <w:t>4.2.1 检测分析指标</w:t>
      </w:r>
      <w:bookmarkEnd w:id="61"/>
      <w:bookmarkEnd w:id="62"/>
      <w:bookmarkEnd w:id="63"/>
      <w:bookmarkEnd w:id="64"/>
    </w:p>
    <w:p w14:paraId="5D2E176D">
      <w:pPr>
        <w:kinsoku/>
        <w:overflowPunct w:val="0"/>
        <w:topLinePunct/>
        <w:autoSpaceDE/>
        <w:autoSpaceDN/>
        <w:spacing w:before="280" w:line="326" w:lineRule="auto"/>
        <w:ind w:left="34" w:right="26" w:firstLine="561"/>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pacing w:val="2"/>
          <w:sz w:val="28"/>
          <w:szCs w:val="28"/>
          <w:lang w:eastAsia="zh-CN"/>
        </w:rPr>
        <w:t>检测指标选取依据：同前期详细调查阶段土壤指标</w:t>
      </w:r>
      <w:r>
        <w:rPr>
          <w:rFonts w:hint="default" w:ascii="Times New Roman" w:hAnsi="Times New Roman" w:eastAsia="仿宋" w:cs="Times New Roman"/>
          <w:color w:val="auto"/>
          <w:spacing w:val="-1"/>
          <w:sz w:val="28"/>
          <w:szCs w:val="28"/>
          <w:lang w:eastAsia="zh-CN"/>
        </w:rPr>
        <w:t xml:space="preserve">。 </w:t>
      </w:r>
    </w:p>
    <w:p w14:paraId="4C45966D">
      <w:pPr>
        <w:pStyle w:val="8"/>
        <w:kinsoku/>
        <w:overflowPunct w:val="0"/>
        <w:autoSpaceDE/>
        <w:autoSpaceDN/>
        <w:spacing w:line="360" w:lineRule="auto"/>
        <w:jc w:val="center"/>
        <w:rPr>
          <w:rFonts w:hint="default" w:ascii="Times New Roman" w:hAnsi="Times New Roman" w:eastAsia="仿宋" w:cs="Times New Roman"/>
          <w:color w:val="0000FF"/>
          <w:lang w:eastAsia="zh-CN"/>
        </w:rPr>
      </w:pPr>
      <w:r>
        <w:rPr>
          <w:rFonts w:hint="default" w:ascii="Times New Roman" w:hAnsi="Times New Roman" w:eastAsia="仿宋" w:cs="Times New Roman"/>
          <w:b/>
          <w:bCs/>
          <w:color w:val="auto"/>
          <w:spacing w:val="-8"/>
          <w:sz w:val="24"/>
          <w:szCs w:val="24"/>
          <w:lang w:eastAsia="zh-CN"/>
        </w:rPr>
        <w:t>表4.2-1 风评补充调查阶段样品检测指标一览表</w:t>
      </w:r>
    </w:p>
    <w:tbl>
      <w:tblPr>
        <w:tblStyle w:val="28"/>
        <w:tblW w:w="500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00"/>
        <w:gridCol w:w="6632"/>
      </w:tblGrid>
      <w:tr w14:paraId="11B29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4" w:hRule="atLeast"/>
          <w:jc w:val="center"/>
        </w:trPr>
        <w:tc>
          <w:tcPr>
            <w:tcW w:w="1020" w:type="pct"/>
            <w:tcBorders>
              <w:top w:val="single" w:color="auto" w:sz="12" w:space="0"/>
              <w:left w:val="single" w:color="auto" w:sz="12" w:space="0"/>
            </w:tcBorders>
            <w:shd w:val="clear" w:color="auto" w:fill="DBEEF3" w:themeFill="accent5" w:themeFillTint="32"/>
            <w:vAlign w:val="center"/>
          </w:tcPr>
          <w:p w14:paraId="24A8A7AB">
            <w:pPr>
              <w:kinsoku/>
              <w:overflowPunct w:val="0"/>
              <w:autoSpaceDE/>
              <w:autoSpaceDN/>
              <w:spacing w:line="209" w:lineRule="auto"/>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pacing w:val="-5"/>
              </w:rPr>
              <w:t>介质</w:t>
            </w:r>
          </w:p>
        </w:tc>
        <w:tc>
          <w:tcPr>
            <w:tcW w:w="3979" w:type="pct"/>
            <w:tcBorders>
              <w:top w:val="single" w:color="auto" w:sz="12" w:space="0"/>
              <w:right w:val="single" w:color="auto" w:sz="12" w:space="0"/>
            </w:tcBorders>
            <w:shd w:val="clear" w:color="auto" w:fill="DBEEF3" w:themeFill="accent5" w:themeFillTint="32"/>
            <w:vAlign w:val="center"/>
          </w:tcPr>
          <w:p w14:paraId="75351D51">
            <w:pPr>
              <w:kinsoku/>
              <w:overflowPunct w:val="0"/>
              <w:autoSpaceDE/>
              <w:autoSpaceDN/>
              <w:spacing w:line="209" w:lineRule="auto"/>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pacing w:val="-4"/>
              </w:rPr>
              <w:t>检测因子</w:t>
            </w:r>
          </w:p>
        </w:tc>
      </w:tr>
      <w:tr w14:paraId="3840A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jc w:val="center"/>
        </w:trPr>
        <w:tc>
          <w:tcPr>
            <w:tcW w:w="1020" w:type="pct"/>
            <w:tcBorders>
              <w:left w:val="single" w:color="auto" w:sz="12" w:space="0"/>
              <w:bottom w:val="single" w:color="auto" w:sz="12" w:space="0"/>
            </w:tcBorders>
            <w:vAlign w:val="center"/>
          </w:tcPr>
          <w:p w14:paraId="0A53FF2E">
            <w:pPr>
              <w:pStyle w:val="29"/>
              <w:kinsoku/>
              <w:overflowPunct w:val="0"/>
              <w:autoSpaceDE/>
              <w:autoSpaceDN/>
              <w:spacing w:line="233" w:lineRule="auto"/>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土壤</w:t>
            </w:r>
          </w:p>
        </w:tc>
        <w:tc>
          <w:tcPr>
            <w:tcW w:w="3979" w:type="pct"/>
            <w:tcBorders>
              <w:bottom w:val="single" w:color="auto" w:sz="12" w:space="0"/>
              <w:right w:val="single" w:color="auto" w:sz="12" w:space="0"/>
            </w:tcBorders>
            <w:vAlign w:val="center"/>
          </w:tcPr>
          <w:p w14:paraId="53712FB9">
            <w:pPr>
              <w:kinsoku/>
              <w:overflowPunct w:val="0"/>
              <w:autoSpaceDE/>
              <w:autoSpaceDN/>
              <w:jc w:val="both"/>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重金属7项（砷、镉、六价铬、铜、铅、汞、镍）、挥发性有机物（VOCs）27项、半挥发性有机物（SVOCs）11项、pH、石油烃（C</w:t>
            </w:r>
            <w:r>
              <w:rPr>
                <w:rFonts w:hint="default" w:ascii="Times New Roman" w:hAnsi="Times New Roman" w:eastAsia="仿宋" w:cs="Times New Roman"/>
                <w:color w:val="auto"/>
                <w:vertAlign w:val="subscript"/>
                <w:lang w:eastAsia="zh-CN"/>
              </w:rPr>
              <w:t>10</w:t>
            </w:r>
            <w:r>
              <w:rPr>
                <w:rFonts w:hint="default" w:ascii="Times New Roman" w:hAnsi="Times New Roman" w:eastAsia="仿宋" w:cs="Times New Roman"/>
                <w:color w:val="auto"/>
                <w:lang w:eastAsia="zh-CN"/>
              </w:rPr>
              <w:t>~C</w:t>
            </w:r>
            <w:r>
              <w:rPr>
                <w:rFonts w:hint="default" w:ascii="Times New Roman" w:hAnsi="Times New Roman" w:eastAsia="仿宋" w:cs="Times New Roman"/>
                <w:color w:val="auto"/>
                <w:vertAlign w:val="subscript"/>
                <w:lang w:eastAsia="zh-CN"/>
              </w:rPr>
              <w:t>40</w:t>
            </w:r>
            <w:r>
              <w:rPr>
                <w:rFonts w:hint="default" w:ascii="Times New Roman" w:hAnsi="Times New Roman" w:eastAsia="仿宋" w:cs="Times New Roman"/>
                <w:color w:val="auto"/>
                <w:lang w:eastAsia="zh-CN"/>
              </w:rPr>
              <w:t>）、苯酚、总铬、锌、银、锡、锰、钼、总氟化物、氰化物。</w:t>
            </w:r>
          </w:p>
        </w:tc>
      </w:tr>
    </w:tbl>
    <w:p w14:paraId="23292C4B">
      <w:pPr>
        <w:pStyle w:val="8"/>
        <w:kinsoku/>
        <w:overflowPunct w:val="0"/>
        <w:topLinePunct/>
        <w:autoSpaceDE/>
        <w:autoSpaceDN/>
        <w:spacing w:before="121" w:line="360" w:lineRule="auto"/>
        <w:ind w:left="34"/>
        <w:outlineLvl w:val="2"/>
        <w:rPr>
          <w:rFonts w:hint="default" w:ascii="Times New Roman" w:hAnsi="Times New Roman" w:eastAsia="仿宋" w:cs="Times New Roman"/>
          <w:b/>
          <w:bCs/>
          <w:snapToGrid/>
          <w:kern w:val="2"/>
          <w:szCs w:val="32"/>
          <w:lang w:eastAsia="zh-CN"/>
        </w:rPr>
      </w:pPr>
      <w:bookmarkStart w:id="65" w:name="_Toc5096"/>
      <w:bookmarkStart w:id="66" w:name="_Toc2853"/>
      <w:bookmarkStart w:id="67" w:name="_Toc5954"/>
      <w:bookmarkStart w:id="68" w:name="_Toc24130"/>
      <w:r>
        <w:rPr>
          <w:rFonts w:hint="default" w:ascii="Times New Roman" w:hAnsi="Times New Roman" w:eastAsia="仿宋" w:cs="Times New Roman"/>
          <w:b/>
          <w:bCs/>
          <w:snapToGrid/>
          <w:kern w:val="2"/>
          <w:szCs w:val="32"/>
          <w:lang w:eastAsia="zh-CN"/>
        </w:rPr>
        <w:t>4.2.2 检测分析方法</w:t>
      </w:r>
      <w:bookmarkEnd w:id="65"/>
      <w:bookmarkEnd w:id="66"/>
      <w:bookmarkEnd w:id="67"/>
      <w:bookmarkEnd w:id="68"/>
    </w:p>
    <w:p w14:paraId="7D94F483">
      <w:pPr>
        <w:kinsoku/>
        <w:overflowPunct w:val="0"/>
        <w:topLinePunct/>
        <w:autoSpaceDE/>
        <w:autoSpaceDN/>
        <w:spacing w:line="327" w:lineRule="auto"/>
        <w:ind w:left="40" w:right="28" w:firstLine="561"/>
        <w:jc w:val="both"/>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负责检测的实验室为江苏中宜金大分析检测有限公司，该公司具有检验检测机构资质认定证书，证书编号为171012050310。</w:t>
      </w:r>
    </w:p>
    <w:p w14:paraId="4287B80B">
      <w:pPr>
        <w:pStyle w:val="8"/>
        <w:kinsoku/>
        <w:overflowPunct w:val="0"/>
        <w:autoSpaceDE/>
        <w:autoSpaceDN/>
        <w:spacing w:line="360" w:lineRule="auto"/>
        <w:jc w:val="center"/>
        <w:rPr>
          <w:rFonts w:hint="default" w:ascii="Times New Roman" w:hAnsi="Times New Roman" w:eastAsia="仿宋" w:cs="Times New Roman"/>
          <w:b/>
          <w:bCs/>
          <w:color w:val="0000FF"/>
          <w:spacing w:val="-3"/>
          <w:sz w:val="24"/>
          <w:szCs w:val="24"/>
          <w:lang w:eastAsia="zh-CN"/>
        </w:rPr>
      </w:pPr>
      <w:r>
        <w:rPr>
          <w:rFonts w:hint="default" w:ascii="Times New Roman" w:hAnsi="Times New Roman" w:eastAsia="仿宋" w:cs="Times New Roman"/>
          <w:b/>
          <w:bCs/>
          <w:color w:val="auto"/>
          <w:spacing w:val="-8"/>
          <w:sz w:val="24"/>
          <w:szCs w:val="24"/>
          <w:lang w:eastAsia="zh-CN"/>
        </w:rPr>
        <w:t>表4.2-2 采样样品分析检测方法</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60"/>
        <w:gridCol w:w="3693"/>
        <w:gridCol w:w="819"/>
        <w:gridCol w:w="855"/>
        <w:gridCol w:w="1209"/>
      </w:tblGrid>
      <w:tr w14:paraId="3523D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97" w:type="pct"/>
            <w:tcBorders>
              <w:tl2br w:val="nil"/>
              <w:tr2bl w:val="nil"/>
            </w:tcBorders>
            <w:shd w:val="clear" w:color="auto" w:fill="DBEEF3" w:themeFill="accent5" w:themeFillTint="32"/>
            <w:vAlign w:val="center"/>
          </w:tcPr>
          <w:p w14:paraId="6BAC52E3">
            <w:pPr>
              <w:widowControl w:val="0"/>
              <w:kinsoku/>
              <w:jc w:val="center"/>
              <w:textAlignment w:val="auto"/>
              <w:rPr>
                <w:rFonts w:hint="default" w:ascii="Times New Roman" w:hAnsi="Times New Roman" w:eastAsia="仿宋" w:cs="Times New Roman"/>
                <w:b/>
                <w:bCs/>
                <w:color w:val="auto"/>
              </w:rPr>
            </w:pPr>
            <w:r>
              <w:rPr>
                <w:rFonts w:hint="default" w:ascii="Times New Roman" w:hAnsi="Times New Roman" w:eastAsia="仿宋" w:cs="Times New Roman"/>
                <w:b/>
                <w:bCs/>
                <w:color w:val="auto"/>
              </w:rPr>
              <w:t>序号</w:t>
            </w:r>
          </w:p>
        </w:tc>
        <w:tc>
          <w:tcPr>
            <w:tcW w:w="740" w:type="pct"/>
            <w:tcBorders>
              <w:tl2br w:val="nil"/>
              <w:tr2bl w:val="nil"/>
            </w:tcBorders>
            <w:shd w:val="clear" w:color="auto" w:fill="DBEEF3" w:themeFill="accent5" w:themeFillTint="32"/>
            <w:vAlign w:val="center"/>
          </w:tcPr>
          <w:p w14:paraId="4CF4C6F3">
            <w:pPr>
              <w:widowControl w:val="0"/>
              <w:kinsoku/>
              <w:jc w:val="center"/>
              <w:textAlignment w:val="auto"/>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检测项目</w:t>
            </w:r>
          </w:p>
        </w:tc>
        <w:tc>
          <w:tcPr>
            <w:tcW w:w="2168" w:type="pct"/>
            <w:tcBorders>
              <w:tl2br w:val="nil"/>
              <w:tr2bl w:val="nil"/>
            </w:tcBorders>
            <w:shd w:val="clear" w:color="auto" w:fill="DBEEF3" w:themeFill="accent5" w:themeFillTint="32"/>
            <w:vAlign w:val="center"/>
          </w:tcPr>
          <w:p w14:paraId="6581351D">
            <w:pPr>
              <w:widowControl w:val="0"/>
              <w:kinsoku/>
              <w:jc w:val="center"/>
              <w:textAlignment w:val="auto"/>
              <w:rPr>
                <w:rFonts w:hint="default" w:ascii="Times New Roman" w:hAnsi="Times New Roman" w:eastAsia="仿宋" w:cs="Times New Roman"/>
                <w:b/>
                <w:bCs/>
                <w:color w:val="auto"/>
              </w:rPr>
            </w:pPr>
            <w:r>
              <w:rPr>
                <w:rFonts w:hint="default" w:ascii="Times New Roman" w:hAnsi="Times New Roman" w:eastAsia="仿宋" w:cs="Times New Roman"/>
                <w:b/>
                <w:bCs/>
                <w:color w:val="auto"/>
              </w:rPr>
              <w:t>分析方法及编号</w:t>
            </w:r>
          </w:p>
        </w:tc>
        <w:tc>
          <w:tcPr>
            <w:tcW w:w="481" w:type="pct"/>
            <w:tcBorders>
              <w:tl2br w:val="nil"/>
              <w:tr2bl w:val="nil"/>
            </w:tcBorders>
            <w:shd w:val="clear" w:color="auto" w:fill="DBEEF3" w:themeFill="accent5" w:themeFillTint="32"/>
            <w:vAlign w:val="center"/>
          </w:tcPr>
          <w:p w14:paraId="28DF7566">
            <w:pPr>
              <w:widowControl w:val="0"/>
              <w:kinsoku/>
              <w:jc w:val="center"/>
              <w:textAlignment w:val="auto"/>
              <w:rPr>
                <w:rFonts w:hint="default" w:ascii="Times New Roman" w:hAnsi="Times New Roman" w:eastAsia="仿宋" w:cs="Times New Roman"/>
                <w:b/>
                <w:bCs/>
                <w:color w:val="auto"/>
              </w:rPr>
            </w:pPr>
            <w:r>
              <w:rPr>
                <w:rFonts w:hint="default" w:ascii="Times New Roman" w:hAnsi="Times New Roman" w:eastAsia="仿宋" w:cs="Times New Roman"/>
                <w:b/>
                <w:bCs/>
                <w:color w:val="auto"/>
              </w:rPr>
              <w:t>单位</w:t>
            </w:r>
          </w:p>
        </w:tc>
        <w:tc>
          <w:tcPr>
            <w:tcW w:w="502" w:type="pct"/>
            <w:tcBorders>
              <w:tl2br w:val="nil"/>
              <w:tr2bl w:val="nil"/>
            </w:tcBorders>
            <w:shd w:val="clear" w:color="auto" w:fill="DBEEF3" w:themeFill="accent5" w:themeFillTint="32"/>
            <w:vAlign w:val="center"/>
          </w:tcPr>
          <w:p w14:paraId="1FA7980F">
            <w:pPr>
              <w:widowControl w:val="0"/>
              <w:kinsoku/>
              <w:jc w:val="center"/>
              <w:textAlignment w:val="auto"/>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检出限</w:t>
            </w:r>
          </w:p>
        </w:tc>
        <w:tc>
          <w:tcPr>
            <w:tcW w:w="710" w:type="pct"/>
            <w:tcBorders>
              <w:tl2br w:val="nil"/>
              <w:tr2bl w:val="nil"/>
            </w:tcBorders>
            <w:shd w:val="clear" w:color="auto" w:fill="DBEEF3" w:themeFill="accent5" w:themeFillTint="32"/>
            <w:vAlign w:val="center"/>
          </w:tcPr>
          <w:p w14:paraId="7B812E4B">
            <w:pPr>
              <w:widowControl w:val="0"/>
              <w:kinsoku/>
              <w:jc w:val="center"/>
              <w:textAlignment w:val="auto"/>
              <w:rPr>
                <w:rFonts w:hint="default" w:ascii="Times New Roman" w:hAnsi="Times New Roman" w:eastAsia="仿宋" w:cs="Times New Roman"/>
                <w:b/>
                <w:bCs/>
                <w:color w:val="auto"/>
                <w:lang w:eastAsia="zh-CN"/>
              </w:rPr>
            </w:pPr>
            <w:r>
              <w:rPr>
                <w:rFonts w:hint="default" w:ascii="Times New Roman" w:hAnsi="Times New Roman" w:eastAsia="仿宋" w:cs="Times New Roman"/>
                <w:b/>
                <w:bCs/>
                <w:color w:val="auto"/>
                <w:lang w:eastAsia="zh-CN"/>
              </w:rPr>
              <w:t>第一类</w:t>
            </w:r>
          </w:p>
          <w:p w14:paraId="25D9F1F4">
            <w:pPr>
              <w:widowControl w:val="0"/>
              <w:kinsoku/>
              <w:jc w:val="center"/>
              <w:textAlignment w:val="auto"/>
              <w:rPr>
                <w:rFonts w:hint="default" w:ascii="Times New Roman" w:hAnsi="Times New Roman" w:eastAsia="仿宋" w:cs="Times New Roman"/>
                <w:b/>
                <w:bCs/>
                <w:color w:val="auto"/>
              </w:rPr>
            </w:pPr>
            <w:r>
              <w:rPr>
                <w:rFonts w:hint="default" w:ascii="Times New Roman" w:hAnsi="Times New Roman" w:eastAsia="仿宋" w:cs="Times New Roman"/>
                <w:b/>
                <w:bCs/>
                <w:color w:val="auto"/>
                <w:lang w:eastAsia="zh-CN"/>
              </w:rPr>
              <w:t>用地</w:t>
            </w:r>
            <w:r>
              <w:rPr>
                <w:rFonts w:hint="default" w:ascii="Times New Roman" w:hAnsi="Times New Roman" w:eastAsia="仿宋" w:cs="Times New Roman"/>
                <w:b/>
                <w:bCs/>
                <w:color w:val="auto"/>
              </w:rPr>
              <w:t>标准</w:t>
            </w:r>
          </w:p>
        </w:tc>
      </w:tr>
      <w:tr w14:paraId="154EA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3B00333A">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w:t>
            </w:r>
          </w:p>
        </w:tc>
        <w:tc>
          <w:tcPr>
            <w:tcW w:w="740" w:type="pct"/>
            <w:tcBorders>
              <w:tl2br w:val="nil"/>
              <w:tr2bl w:val="nil"/>
            </w:tcBorders>
            <w:vAlign w:val="center"/>
          </w:tcPr>
          <w:p w14:paraId="11B9FAAF">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砷</w:t>
            </w:r>
          </w:p>
        </w:tc>
        <w:tc>
          <w:tcPr>
            <w:tcW w:w="2168" w:type="pct"/>
            <w:tcBorders>
              <w:tl2br w:val="nil"/>
              <w:tr2bl w:val="nil"/>
            </w:tcBorders>
            <w:vAlign w:val="center"/>
          </w:tcPr>
          <w:p w14:paraId="26D2D169">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12种金属元素的测定 王水提取-电感耦合等离子体质谱法 HJ 803-2016</w:t>
            </w:r>
          </w:p>
        </w:tc>
        <w:tc>
          <w:tcPr>
            <w:tcW w:w="481" w:type="pct"/>
            <w:tcBorders>
              <w:tl2br w:val="nil"/>
              <w:tr2bl w:val="nil"/>
            </w:tcBorders>
            <w:vAlign w:val="center"/>
          </w:tcPr>
          <w:p w14:paraId="00B867B7">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3D6F7E4B">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rPr>
              <w:t>0.</w:t>
            </w:r>
            <w:r>
              <w:rPr>
                <w:rFonts w:hint="default" w:ascii="Times New Roman" w:hAnsi="Times New Roman" w:eastAsia="仿宋" w:cs="Times New Roman"/>
                <w:color w:val="auto"/>
                <w:lang w:eastAsia="zh-CN"/>
              </w:rPr>
              <w:t>6</w:t>
            </w:r>
          </w:p>
        </w:tc>
        <w:tc>
          <w:tcPr>
            <w:tcW w:w="710" w:type="pct"/>
            <w:tcBorders>
              <w:tl2br w:val="nil"/>
              <w:tr2bl w:val="nil"/>
            </w:tcBorders>
            <w:vAlign w:val="center"/>
          </w:tcPr>
          <w:p w14:paraId="794CE08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20</w:t>
            </w:r>
          </w:p>
        </w:tc>
      </w:tr>
      <w:tr w14:paraId="16F1F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06303469">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w:t>
            </w:r>
          </w:p>
        </w:tc>
        <w:tc>
          <w:tcPr>
            <w:tcW w:w="740" w:type="pct"/>
            <w:tcBorders>
              <w:tl2br w:val="nil"/>
              <w:tr2bl w:val="nil"/>
            </w:tcBorders>
            <w:vAlign w:val="center"/>
          </w:tcPr>
          <w:p w14:paraId="02574F81">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镉</w:t>
            </w:r>
          </w:p>
        </w:tc>
        <w:tc>
          <w:tcPr>
            <w:tcW w:w="2168" w:type="pct"/>
            <w:tcBorders>
              <w:tl2br w:val="nil"/>
              <w:tr2bl w:val="nil"/>
            </w:tcBorders>
            <w:vAlign w:val="center"/>
          </w:tcPr>
          <w:p w14:paraId="6A91B38B">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土壤质量 铅、镉的测定 </w:t>
            </w:r>
          </w:p>
          <w:p w14:paraId="72A1D7BA">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石墨炉原子吸收分光光度法</w:t>
            </w:r>
          </w:p>
          <w:p w14:paraId="45DDF18E">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GB/T 17141-1997</w:t>
            </w:r>
          </w:p>
        </w:tc>
        <w:tc>
          <w:tcPr>
            <w:tcW w:w="481" w:type="pct"/>
            <w:tcBorders>
              <w:tl2br w:val="nil"/>
              <w:tr2bl w:val="nil"/>
            </w:tcBorders>
            <w:vAlign w:val="center"/>
          </w:tcPr>
          <w:p w14:paraId="6E88BF82">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0F27BFC9">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0.01</w:t>
            </w:r>
          </w:p>
        </w:tc>
        <w:tc>
          <w:tcPr>
            <w:tcW w:w="710" w:type="pct"/>
            <w:tcBorders>
              <w:tl2br w:val="nil"/>
              <w:tr2bl w:val="nil"/>
            </w:tcBorders>
            <w:vAlign w:val="center"/>
          </w:tcPr>
          <w:p w14:paraId="02F548AE">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20</w:t>
            </w:r>
          </w:p>
        </w:tc>
      </w:tr>
      <w:tr w14:paraId="188B2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5C053499">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w:t>
            </w:r>
          </w:p>
        </w:tc>
        <w:tc>
          <w:tcPr>
            <w:tcW w:w="740" w:type="pct"/>
            <w:tcBorders>
              <w:tl2br w:val="nil"/>
              <w:tr2bl w:val="nil"/>
            </w:tcBorders>
            <w:vAlign w:val="center"/>
          </w:tcPr>
          <w:p w14:paraId="4EBFC9FE">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铬（六价）</w:t>
            </w:r>
          </w:p>
        </w:tc>
        <w:tc>
          <w:tcPr>
            <w:tcW w:w="2168" w:type="pct"/>
            <w:tcBorders>
              <w:tl2br w:val="nil"/>
              <w:tr2bl w:val="nil"/>
            </w:tcBorders>
            <w:vAlign w:val="center"/>
          </w:tcPr>
          <w:p w14:paraId="2EB4EB25">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六价铬的测定 </w:t>
            </w:r>
          </w:p>
          <w:p w14:paraId="6DADA40F">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碱溶液提取-火焰原子吸收分光光度法</w:t>
            </w:r>
          </w:p>
          <w:p w14:paraId="397BC770">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1082-2019</w:t>
            </w:r>
          </w:p>
        </w:tc>
        <w:tc>
          <w:tcPr>
            <w:tcW w:w="481" w:type="pct"/>
            <w:tcBorders>
              <w:tl2br w:val="nil"/>
              <w:tr2bl w:val="nil"/>
            </w:tcBorders>
            <w:vAlign w:val="center"/>
          </w:tcPr>
          <w:p w14:paraId="5C9EF46B">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591399D1">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0.5</w:t>
            </w:r>
          </w:p>
        </w:tc>
        <w:tc>
          <w:tcPr>
            <w:tcW w:w="710" w:type="pct"/>
            <w:tcBorders>
              <w:tl2br w:val="nil"/>
              <w:tr2bl w:val="nil"/>
            </w:tcBorders>
            <w:vAlign w:val="center"/>
          </w:tcPr>
          <w:p w14:paraId="6000C4CF">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3.0</w:t>
            </w:r>
          </w:p>
        </w:tc>
      </w:tr>
      <w:tr w14:paraId="10BFB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2DD2F0D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4</w:t>
            </w:r>
          </w:p>
        </w:tc>
        <w:tc>
          <w:tcPr>
            <w:tcW w:w="740" w:type="pct"/>
            <w:tcBorders>
              <w:tl2br w:val="nil"/>
              <w:tr2bl w:val="nil"/>
            </w:tcBorders>
            <w:vAlign w:val="center"/>
          </w:tcPr>
          <w:p w14:paraId="106F0A62">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铜</w:t>
            </w:r>
          </w:p>
        </w:tc>
        <w:tc>
          <w:tcPr>
            <w:tcW w:w="2168" w:type="pct"/>
            <w:tcBorders>
              <w:tl2br w:val="nil"/>
              <w:tr2bl w:val="nil"/>
            </w:tcBorders>
            <w:vAlign w:val="center"/>
          </w:tcPr>
          <w:p w14:paraId="0EEDF8A4">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铜、锌、铅、镍、铬的测定 火焰原子吸收分光光度法</w:t>
            </w:r>
          </w:p>
          <w:p w14:paraId="5A687767">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491-2019</w:t>
            </w:r>
          </w:p>
        </w:tc>
        <w:tc>
          <w:tcPr>
            <w:tcW w:w="481" w:type="pct"/>
            <w:tcBorders>
              <w:tl2br w:val="nil"/>
              <w:tr2bl w:val="nil"/>
            </w:tcBorders>
            <w:vAlign w:val="center"/>
          </w:tcPr>
          <w:p w14:paraId="74B9A3B9">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10CAF356">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1.0</w:t>
            </w:r>
          </w:p>
        </w:tc>
        <w:tc>
          <w:tcPr>
            <w:tcW w:w="710" w:type="pct"/>
            <w:tcBorders>
              <w:tl2br w:val="nil"/>
              <w:tr2bl w:val="nil"/>
            </w:tcBorders>
            <w:vAlign w:val="center"/>
          </w:tcPr>
          <w:p w14:paraId="54E5D8EC">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2000</w:t>
            </w:r>
          </w:p>
        </w:tc>
      </w:tr>
      <w:tr w14:paraId="40CAA2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25AE015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5</w:t>
            </w:r>
          </w:p>
        </w:tc>
        <w:tc>
          <w:tcPr>
            <w:tcW w:w="740" w:type="pct"/>
            <w:tcBorders>
              <w:tl2br w:val="nil"/>
              <w:tr2bl w:val="nil"/>
            </w:tcBorders>
            <w:vAlign w:val="center"/>
          </w:tcPr>
          <w:p w14:paraId="1F76433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铅</w:t>
            </w:r>
          </w:p>
        </w:tc>
        <w:tc>
          <w:tcPr>
            <w:tcW w:w="2168" w:type="pct"/>
            <w:tcBorders>
              <w:tl2br w:val="nil"/>
              <w:tr2bl w:val="nil"/>
            </w:tcBorders>
            <w:vAlign w:val="center"/>
          </w:tcPr>
          <w:p w14:paraId="16FD824E">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土壤质量 铅、镉的测定</w:t>
            </w:r>
          </w:p>
          <w:p w14:paraId="167C9E57">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 石墨炉原子吸收分光光度法 </w:t>
            </w:r>
          </w:p>
          <w:p w14:paraId="45D32554">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GB/T17141-1997</w:t>
            </w:r>
          </w:p>
        </w:tc>
        <w:tc>
          <w:tcPr>
            <w:tcW w:w="481" w:type="pct"/>
            <w:tcBorders>
              <w:tl2br w:val="nil"/>
              <w:tr2bl w:val="nil"/>
            </w:tcBorders>
            <w:vAlign w:val="center"/>
          </w:tcPr>
          <w:p w14:paraId="504BEA6C">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0B6D0216">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0.1</w:t>
            </w:r>
          </w:p>
        </w:tc>
        <w:tc>
          <w:tcPr>
            <w:tcW w:w="710" w:type="pct"/>
            <w:tcBorders>
              <w:tl2br w:val="nil"/>
              <w:tr2bl w:val="nil"/>
            </w:tcBorders>
            <w:vAlign w:val="center"/>
          </w:tcPr>
          <w:p w14:paraId="6FF5B917">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400</w:t>
            </w:r>
          </w:p>
        </w:tc>
      </w:tr>
      <w:tr w14:paraId="0B7BB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38D8B2B7">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6</w:t>
            </w:r>
          </w:p>
        </w:tc>
        <w:tc>
          <w:tcPr>
            <w:tcW w:w="740" w:type="pct"/>
            <w:tcBorders>
              <w:tl2br w:val="nil"/>
              <w:tr2bl w:val="nil"/>
            </w:tcBorders>
            <w:vAlign w:val="center"/>
          </w:tcPr>
          <w:p w14:paraId="6C4CE9CC">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汞</w:t>
            </w:r>
          </w:p>
        </w:tc>
        <w:tc>
          <w:tcPr>
            <w:tcW w:w="2168" w:type="pct"/>
            <w:tcBorders>
              <w:tl2br w:val="nil"/>
              <w:tr2bl w:val="nil"/>
            </w:tcBorders>
            <w:vAlign w:val="center"/>
          </w:tcPr>
          <w:p w14:paraId="5DB236B6">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总汞的测定 </w:t>
            </w:r>
          </w:p>
          <w:p w14:paraId="18E9CAD9">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催化热解-冷原子吸收分光光度法</w:t>
            </w:r>
          </w:p>
          <w:p w14:paraId="5C179B6E">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 xml:space="preserve"> </w:t>
            </w:r>
            <w:r>
              <w:rPr>
                <w:rFonts w:hint="default" w:ascii="Times New Roman" w:hAnsi="Times New Roman" w:eastAsia="仿宋" w:cs="Times New Roman"/>
                <w:color w:val="auto"/>
              </w:rPr>
              <w:t>HJ 923-2017</w:t>
            </w:r>
          </w:p>
        </w:tc>
        <w:tc>
          <w:tcPr>
            <w:tcW w:w="481" w:type="pct"/>
            <w:tcBorders>
              <w:tl2br w:val="nil"/>
              <w:tr2bl w:val="nil"/>
            </w:tcBorders>
            <w:vAlign w:val="center"/>
          </w:tcPr>
          <w:p w14:paraId="10B2B86F">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335A3C43">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0.0002</w:t>
            </w:r>
          </w:p>
        </w:tc>
        <w:tc>
          <w:tcPr>
            <w:tcW w:w="710" w:type="pct"/>
            <w:tcBorders>
              <w:tl2br w:val="nil"/>
              <w:tr2bl w:val="nil"/>
            </w:tcBorders>
            <w:vAlign w:val="center"/>
          </w:tcPr>
          <w:p w14:paraId="27C6AA30">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8</w:t>
            </w:r>
          </w:p>
        </w:tc>
      </w:tr>
      <w:tr w14:paraId="5087C5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2337BFB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w:t>
            </w:r>
          </w:p>
        </w:tc>
        <w:tc>
          <w:tcPr>
            <w:tcW w:w="740" w:type="pct"/>
            <w:tcBorders>
              <w:tl2br w:val="nil"/>
              <w:tr2bl w:val="nil"/>
            </w:tcBorders>
            <w:vAlign w:val="center"/>
          </w:tcPr>
          <w:p w14:paraId="2CC38C47">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镍</w:t>
            </w:r>
          </w:p>
        </w:tc>
        <w:tc>
          <w:tcPr>
            <w:tcW w:w="2168" w:type="pct"/>
            <w:tcBorders>
              <w:tl2br w:val="nil"/>
              <w:tr2bl w:val="nil"/>
            </w:tcBorders>
            <w:vAlign w:val="center"/>
          </w:tcPr>
          <w:p w14:paraId="64E958BB">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铜、锌、铅、镍、铬的测定 火焰原子吸收分光光度法</w:t>
            </w:r>
          </w:p>
          <w:p w14:paraId="66FDEF13">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491-2019</w:t>
            </w:r>
          </w:p>
        </w:tc>
        <w:tc>
          <w:tcPr>
            <w:tcW w:w="481" w:type="pct"/>
            <w:tcBorders>
              <w:tl2br w:val="nil"/>
              <w:tr2bl w:val="nil"/>
            </w:tcBorders>
            <w:vAlign w:val="center"/>
          </w:tcPr>
          <w:p w14:paraId="36C99062">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6DB4C954">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3.0</w:t>
            </w:r>
          </w:p>
        </w:tc>
        <w:tc>
          <w:tcPr>
            <w:tcW w:w="710" w:type="pct"/>
            <w:tcBorders>
              <w:tl2br w:val="nil"/>
              <w:tr2bl w:val="nil"/>
            </w:tcBorders>
            <w:vAlign w:val="center"/>
          </w:tcPr>
          <w:p w14:paraId="4B9C9187">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150</w:t>
            </w:r>
          </w:p>
        </w:tc>
      </w:tr>
      <w:tr w14:paraId="061E9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03A44716">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8</w:t>
            </w:r>
          </w:p>
        </w:tc>
        <w:tc>
          <w:tcPr>
            <w:tcW w:w="740" w:type="pct"/>
            <w:tcBorders>
              <w:tl2br w:val="nil"/>
              <w:tr2bl w:val="nil"/>
            </w:tcBorders>
            <w:vAlign w:val="center"/>
          </w:tcPr>
          <w:p w14:paraId="5047D482">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四氯化碳</w:t>
            </w:r>
          </w:p>
        </w:tc>
        <w:tc>
          <w:tcPr>
            <w:tcW w:w="2168" w:type="pct"/>
            <w:tcBorders>
              <w:tl2br w:val="nil"/>
              <w:tr2bl w:val="nil"/>
            </w:tcBorders>
            <w:vAlign w:val="center"/>
          </w:tcPr>
          <w:p w14:paraId="6EB05DEF">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7F108A70">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605-2011</w:t>
            </w:r>
          </w:p>
        </w:tc>
        <w:tc>
          <w:tcPr>
            <w:tcW w:w="481" w:type="pct"/>
            <w:tcBorders>
              <w:tl2br w:val="nil"/>
              <w:tr2bl w:val="nil"/>
            </w:tcBorders>
            <w:vAlign w:val="center"/>
          </w:tcPr>
          <w:p w14:paraId="389BEB31">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509A7E0F">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0.0013</w:t>
            </w:r>
          </w:p>
        </w:tc>
        <w:tc>
          <w:tcPr>
            <w:tcW w:w="710" w:type="pct"/>
            <w:tcBorders>
              <w:tl2br w:val="nil"/>
              <w:tr2bl w:val="nil"/>
            </w:tcBorders>
            <w:vAlign w:val="center"/>
          </w:tcPr>
          <w:p w14:paraId="51E2D552">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0.9</w:t>
            </w:r>
          </w:p>
        </w:tc>
      </w:tr>
      <w:tr w14:paraId="5437B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5F707C84">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9</w:t>
            </w:r>
          </w:p>
        </w:tc>
        <w:tc>
          <w:tcPr>
            <w:tcW w:w="740" w:type="pct"/>
            <w:tcBorders>
              <w:tl2br w:val="nil"/>
              <w:tr2bl w:val="nil"/>
            </w:tcBorders>
            <w:vAlign w:val="center"/>
          </w:tcPr>
          <w:p w14:paraId="7965BD13">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氯仿</w:t>
            </w:r>
          </w:p>
        </w:tc>
        <w:tc>
          <w:tcPr>
            <w:tcW w:w="2168" w:type="pct"/>
            <w:tcBorders>
              <w:tl2br w:val="nil"/>
              <w:tr2bl w:val="nil"/>
            </w:tcBorders>
            <w:vAlign w:val="center"/>
          </w:tcPr>
          <w:p w14:paraId="4F137C09">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398A421B">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 xml:space="preserve"> </w:t>
            </w:r>
            <w:r>
              <w:rPr>
                <w:rFonts w:hint="default" w:ascii="Times New Roman" w:hAnsi="Times New Roman" w:eastAsia="仿宋" w:cs="Times New Roman"/>
                <w:color w:val="auto"/>
              </w:rPr>
              <w:t>HJ 605-2011</w:t>
            </w:r>
          </w:p>
        </w:tc>
        <w:tc>
          <w:tcPr>
            <w:tcW w:w="481" w:type="pct"/>
            <w:tcBorders>
              <w:tl2br w:val="nil"/>
              <w:tr2bl w:val="nil"/>
            </w:tcBorders>
            <w:vAlign w:val="center"/>
          </w:tcPr>
          <w:p w14:paraId="0816E1A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70DC517B">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0.0011</w:t>
            </w:r>
          </w:p>
        </w:tc>
        <w:tc>
          <w:tcPr>
            <w:tcW w:w="710" w:type="pct"/>
            <w:tcBorders>
              <w:tl2br w:val="nil"/>
              <w:tr2bl w:val="nil"/>
            </w:tcBorders>
            <w:vAlign w:val="center"/>
          </w:tcPr>
          <w:p w14:paraId="4F2EDF42">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0.3</w:t>
            </w:r>
          </w:p>
        </w:tc>
      </w:tr>
      <w:tr w14:paraId="6408F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79B3662E">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10</w:t>
            </w:r>
          </w:p>
        </w:tc>
        <w:tc>
          <w:tcPr>
            <w:tcW w:w="740" w:type="pct"/>
            <w:tcBorders>
              <w:tl2br w:val="nil"/>
              <w:tr2bl w:val="nil"/>
            </w:tcBorders>
            <w:vAlign w:val="center"/>
          </w:tcPr>
          <w:p w14:paraId="7263F82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氯甲烷</w:t>
            </w:r>
          </w:p>
        </w:tc>
        <w:tc>
          <w:tcPr>
            <w:tcW w:w="2168" w:type="pct"/>
            <w:tcBorders>
              <w:tl2br w:val="nil"/>
              <w:tr2bl w:val="nil"/>
            </w:tcBorders>
            <w:vAlign w:val="center"/>
          </w:tcPr>
          <w:p w14:paraId="003403B5">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667EDCE4">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605-2011</w:t>
            </w:r>
          </w:p>
        </w:tc>
        <w:tc>
          <w:tcPr>
            <w:tcW w:w="481" w:type="pct"/>
            <w:tcBorders>
              <w:tl2br w:val="nil"/>
              <w:tr2bl w:val="nil"/>
            </w:tcBorders>
            <w:vAlign w:val="center"/>
          </w:tcPr>
          <w:p w14:paraId="2BED0221">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3E77720C">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w:t>
            </w:r>
          </w:p>
        </w:tc>
        <w:tc>
          <w:tcPr>
            <w:tcW w:w="710" w:type="pct"/>
            <w:tcBorders>
              <w:tl2br w:val="nil"/>
              <w:tr2bl w:val="nil"/>
            </w:tcBorders>
            <w:vAlign w:val="center"/>
          </w:tcPr>
          <w:p w14:paraId="075F09D5">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12</w:t>
            </w:r>
          </w:p>
        </w:tc>
      </w:tr>
      <w:tr w14:paraId="049DA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4619C336">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11</w:t>
            </w:r>
          </w:p>
        </w:tc>
        <w:tc>
          <w:tcPr>
            <w:tcW w:w="740" w:type="pct"/>
            <w:tcBorders>
              <w:tl2br w:val="nil"/>
              <w:tr2bl w:val="nil"/>
            </w:tcBorders>
            <w:vAlign w:val="center"/>
          </w:tcPr>
          <w:p w14:paraId="6562C35C">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1-二氯乙烷</w:t>
            </w:r>
          </w:p>
        </w:tc>
        <w:tc>
          <w:tcPr>
            <w:tcW w:w="2168" w:type="pct"/>
            <w:tcBorders>
              <w:tl2br w:val="nil"/>
              <w:tr2bl w:val="nil"/>
            </w:tcBorders>
            <w:vAlign w:val="center"/>
          </w:tcPr>
          <w:p w14:paraId="18ED8AF9">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挥发性有机物的测定  吹扫捕集/气相色谱-质谱法</w:t>
            </w:r>
          </w:p>
          <w:p w14:paraId="6BF9312B">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 xml:space="preserve">  </w:t>
            </w:r>
            <w:r>
              <w:rPr>
                <w:rFonts w:hint="default" w:ascii="Times New Roman" w:hAnsi="Times New Roman" w:eastAsia="仿宋" w:cs="Times New Roman"/>
                <w:color w:val="auto"/>
              </w:rPr>
              <w:t>HJ 605-2011</w:t>
            </w:r>
          </w:p>
        </w:tc>
        <w:tc>
          <w:tcPr>
            <w:tcW w:w="481" w:type="pct"/>
            <w:tcBorders>
              <w:tl2br w:val="nil"/>
              <w:tr2bl w:val="nil"/>
            </w:tcBorders>
            <w:vAlign w:val="center"/>
          </w:tcPr>
          <w:p w14:paraId="51E04019">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2307D421">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0.0012</w:t>
            </w:r>
          </w:p>
        </w:tc>
        <w:tc>
          <w:tcPr>
            <w:tcW w:w="710" w:type="pct"/>
            <w:tcBorders>
              <w:tl2br w:val="nil"/>
              <w:tr2bl w:val="nil"/>
            </w:tcBorders>
            <w:vAlign w:val="center"/>
          </w:tcPr>
          <w:p w14:paraId="7E61AFAE">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w:t>
            </w:r>
          </w:p>
        </w:tc>
      </w:tr>
      <w:tr w14:paraId="0F4A5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2E3CCB4F">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12</w:t>
            </w:r>
          </w:p>
        </w:tc>
        <w:tc>
          <w:tcPr>
            <w:tcW w:w="740" w:type="pct"/>
            <w:tcBorders>
              <w:tl2br w:val="nil"/>
              <w:tr2bl w:val="nil"/>
            </w:tcBorders>
            <w:vAlign w:val="center"/>
          </w:tcPr>
          <w:p w14:paraId="6D50639F">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2-二氯乙烷</w:t>
            </w:r>
          </w:p>
        </w:tc>
        <w:tc>
          <w:tcPr>
            <w:tcW w:w="2168" w:type="pct"/>
            <w:tcBorders>
              <w:tl2br w:val="nil"/>
              <w:tr2bl w:val="nil"/>
            </w:tcBorders>
            <w:vAlign w:val="center"/>
          </w:tcPr>
          <w:p w14:paraId="400AC75E">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788F3DAF">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605-2011</w:t>
            </w:r>
          </w:p>
        </w:tc>
        <w:tc>
          <w:tcPr>
            <w:tcW w:w="481" w:type="pct"/>
            <w:tcBorders>
              <w:tl2br w:val="nil"/>
              <w:tr2bl w:val="nil"/>
            </w:tcBorders>
            <w:vAlign w:val="center"/>
          </w:tcPr>
          <w:p w14:paraId="2A3E48EE">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32808ABC">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0.0013</w:t>
            </w:r>
          </w:p>
        </w:tc>
        <w:tc>
          <w:tcPr>
            <w:tcW w:w="710" w:type="pct"/>
            <w:tcBorders>
              <w:tl2br w:val="nil"/>
              <w:tr2bl w:val="nil"/>
            </w:tcBorders>
            <w:vAlign w:val="center"/>
          </w:tcPr>
          <w:p w14:paraId="08571196">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0.52</w:t>
            </w:r>
          </w:p>
        </w:tc>
      </w:tr>
      <w:tr w14:paraId="0314F9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33376644">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13</w:t>
            </w:r>
          </w:p>
        </w:tc>
        <w:tc>
          <w:tcPr>
            <w:tcW w:w="740" w:type="pct"/>
            <w:tcBorders>
              <w:tl2br w:val="nil"/>
              <w:tr2bl w:val="nil"/>
            </w:tcBorders>
            <w:vAlign w:val="center"/>
          </w:tcPr>
          <w:p w14:paraId="6F5B0F40">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1-二氯乙烯</w:t>
            </w:r>
          </w:p>
        </w:tc>
        <w:tc>
          <w:tcPr>
            <w:tcW w:w="2168" w:type="pct"/>
            <w:tcBorders>
              <w:tl2br w:val="nil"/>
              <w:tr2bl w:val="nil"/>
            </w:tcBorders>
            <w:vAlign w:val="center"/>
          </w:tcPr>
          <w:p w14:paraId="1364EE35">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221326B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605-2011</w:t>
            </w:r>
          </w:p>
        </w:tc>
        <w:tc>
          <w:tcPr>
            <w:tcW w:w="481" w:type="pct"/>
            <w:tcBorders>
              <w:tl2br w:val="nil"/>
              <w:tr2bl w:val="nil"/>
            </w:tcBorders>
            <w:vAlign w:val="center"/>
          </w:tcPr>
          <w:p w14:paraId="53C134EA">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3617C735">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w:t>
            </w:r>
          </w:p>
        </w:tc>
        <w:tc>
          <w:tcPr>
            <w:tcW w:w="710" w:type="pct"/>
            <w:tcBorders>
              <w:tl2br w:val="nil"/>
              <w:tr2bl w:val="nil"/>
            </w:tcBorders>
            <w:vAlign w:val="center"/>
          </w:tcPr>
          <w:p w14:paraId="4941F9B2">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12</w:t>
            </w:r>
          </w:p>
        </w:tc>
      </w:tr>
      <w:tr w14:paraId="49C3E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56B0D92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14</w:t>
            </w:r>
          </w:p>
        </w:tc>
        <w:tc>
          <w:tcPr>
            <w:tcW w:w="740" w:type="pct"/>
            <w:tcBorders>
              <w:tl2br w:val="nil"/>
              <w:tr2bl w:val="nil"/>
            </w:tcBorders>
            <w:vAlign w:val="center"/>
          </w:tcPr>
          <w:p w14:paraId="5987AD39">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顺-1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2-二氯乙烯</w:t>
            </w:r>
          </w:p>
        </w:tc>
        <w:tc>
          <w:tcPr>
            <w:tcW w:w="2168" w:type="pct"/>
            <w:tcBorders>
              <w:tl2br w:val="nil"/>
              <w:tr2bl w:val="nil"/>
            </w:tcBorders>
            <w:vAlign w:val="center"/>
          </w:tcPr>
          <w:p w14:paraId="450D3E72">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挥发性有机物的测定  吹扫捕集/气相色谱-质谱法</w:t>
            </w:r>
          </w:p>
          <w:p w14:paraId="282173FB">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 xml:space="preserve">  </w:t>
            </w:r>
            <w:r>
              <w:rPr>
                <w:rFonts w:hint="default" w:ascii="Times New Roman" w:hAnsi="Times New Roman" w:eastAsia="仿宋" w:cs="Times New Roman"/>
                <w:color w:val="auto"/>
              </w:rPr>
              <w:t>HJ 605-2011</w:t>
            </w:r>
          </w:p>
        </w:tc>
        <w:tc>
          <w:tcPr>
            <w:tcW w:w="481" w:type="pct"/>
            <w:tcBorders>
              <w:tl2br w:val="nil"/>
              <w:tr2bl w:val="nil"/>
            </w:tcBorders>
            <w:vAlign w:val="center"/>
          </w:tcPr>
          <w:p w14:paraId="266B327C">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797C91C4">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0.0013</w:t>
            </w:r>
          </w:p>
        </w:tc>
        <w:tc>
          <w:tcPr>
            <w:tcW w:w="710" w:type="pct"/>
            <w:tcBorders>
              <w:tl2br w:val="nil"/>
              <w:tr2bl w:val="nil"/>
            </w:tcBorders>
            <w:vAlign w:val="center"/>
          </w:tcPr>
          <w:p w14:paraId="3AF0FA6C">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66</w:t>
            </w:r>
          </w:p>
        </w:tc>
      </w:tr>
      <w:tr w14:paraId="44A3E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7AD7ACA3">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15</w:t>
            </w:r>
          </w:p>
        </w:tc>
        <w:tc>
          <w:tcPr>
            <w:tcW w:w="740" w:type="pct"/>
            <w:tcBorders>
              <w:tl2br w:val="nil"/>
              <w:tr2bl w:val="nil"/>
            </w:tcBorders>
            <w:vAlign w:val="center"/>
          </w:tcPr>
          <w:p w14:paraId="3F06F2DC">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反-1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2-二氯乙烯</w:t>
            </w:r>
          </w:p>
        </w:tc>
        <w:tc>
          <w:tcPr>
            <w:tcW w:w="2168" w:type="pct"/>
            <w:tcBorders>
              <w:tl2br w:val="nil"/>
              <w:tr2bl w:val="nil"/>
            </w:tcBorders>
            <w:vAlign w:val="center"/>
          </w:tcPr>
          <w:p w14:paraId="089FAF54">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挥发性有机物的测定  吹扫捕集/气相色谱-质谱法</w:t>
            </w:r>
          </w:p>
          <w:p w14:paraId="7115CEFA">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 xml:space="preserve">  </w:t>
            </w:r>
            <w:r>
              <w:rPr>
                <w:rFonts w:hint="default" w:ascii="Times New Roman" w:hAnsi="Times New Roman" w:eastAsia="仿宋" w:cs="Times New Roman"/>
                <w:color w:val="auto"/>
              </w:rPr>
              <w:t>HJ 605-2011</w:t>
            </w:r>
          </w:p>
        </w:tc>
        <w:tc>
          <w:tcPr>
            <w:tcW w:w="481" w:type="pct"/>
            <w:tcBorders>
              <w:tl2br w:val="nil"/>
              <w:tr2bl w:val="nil"/>
            </w:tcBorders>
            <w:vAlign w:val="center"/>
          </w:tcPr>
          <w:p w14:paraId="6CB24620">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0E393CD4">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0.0014</w:t>
            </w:r>
          </w:p>
        </w:tc>
        <w:tc>
          <w:tcPr>
            <w:tcW w:w="710" w:type="pct"/>
            <w:tcBorders>
              <w:tl2br w:val="nil"/>
              <w:tr2bl w:val="nil"/>
            </w:tcBorders>
            <w:vAlign w:val="center"/>
          </w:tcPr>
          <w:p w14:paraId="44DF4697">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10</w:t>
            </w:r>
          </w:p>
        </w:tc>
      </w:tr>
      <w:tr w14:paraId="29C1F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5E67EEBE">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16</w:t>
            </w:r>
          </w:p>
        </w:tc>
        <w:tc>
          <w:tcPr>
            <w:tcW w:w="740" w:type="pct"/>
            <w:tcBorders>
              <w:tl2br w:val="nil"/>
              <w:tr2bl w:val="nil"/>
            </w:tcBorders>
            <w:vAlign w:val="center"/>
          </w:tcPr>
          <w:p w14:paraId="543EC7B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二氯甲烷</w:t>
            </w:r>
          </w:p>
        </w:tc>
        <w:tc>
          <w:tcPr>
            <w:tcW w:w="2168" w:type="pct"/>
            <w:tcBorders>
              <w:tl2br w:val="nil"/>
              <w:tr2bl w:val="nil"/>
            </w:tcBorders>
            <w:vAlign w:val="center"/>
          </w:tcPr>
          <w:p w14:paraId="078179E7">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0D2E3709">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 xml:space="preserve"> </w:t>
            </w:r>
            <w:r>
              <w:rPr>
                <w:rFonts w:hint="default" w:ascii="Times New Roman" w:hAnsi="Times New Roman" w:eastAsia="仿宋" w:cs="Times New Roman"/>
                <w:color w:val="auto"/>
              </w:rPr>
              <w:t>HJ 605-2011</w:t>
            </w:r>
          </w:p>
        </w:tc>
        <w:tc>
          <w:tcPr>
            <w:tcW w:w="481" w:type="pct"/>
            <w:tcBorders>
              <w:tl2br w:val="nil"/>
              <w:tr2bl w:val="nil"/>
            </w:tcBorders>
            <w:vAlign w:val="center"/>
          </w:tcPr>
          <w:p w14:paraId="41021CE0">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091A979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0.0015</w:t>
            </w:r>
          </w:p>
        </w:tc>
        <w:tc>
          <w:tcPr>
            <w:tcW w:w="710" w:type="pct"/>
            <w:tcBorders>
              <w:tl2br w:val="nil"/>
              <w:tr2bl w:val="nil"/>
            </w:tcBorders>
            <w:vAlign w:val="center"/>
          </w:tcPr>
          <w:p w14:paraId="5C364A01">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94</w:t>
            </w:r>
          </w:p>
        </w:tc>
      </w:tr>
      <w:tr w14:paraId="289C4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10A7B8B1">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17</w:t>
            </w:r>
          </w:p>
        </w:tc>
        <w:tc>
          <w:tcPr>
            <w:tcW w:w="740" w:type="pct"/>
            <w:tcBorders>
              <w:tl2br w:val="nil"/>
              <w:tr2bl w:val="nil"/>
            </w:tcBorders>
            <w:vAlign w:val="center"/>
          </w:tcPr>
          <w:p w14:paraId="0D651873">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2-二氯丙烷</w:t>
            </w:r>
          </w:p>
        </w:tc>
        <w:tc>
          <w:tcPr>
            <w:tcW w:w="2168" w:type="pct"/>
            <w:tcBorders>
              <w:tl2br w:val="nil"/>
              <w:tr2bl w:val="nil"/>
            </w:tcBorders>
            <w:vAlign w:val="center"/>
          </w:tcPr>
          <w:p w14:paraId="7A67A574">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75433D63">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 xml:space="preserve"> </w:t>
            </w:r>
            <w:r>
              <w:rPr>
                <w:rFonts w:hint="default" w:ascii="Times New Roman" w:hAnsi="Times New Roman" w:eastAsia="仿宋" w:cs="Times New Roman"/>
                <w:color w:val="auto"/>
              </w:rPr>
              <w:t>HJ 605-2011</w:t>
            </w:r>
          </w:p>
        </w:tc>
        <w:tc>
          <w:tcPr>
            <w:tcW w:w="481" w:type="pct"/>
            <w:tcBorders>
              <w:tl2br w:val="nil"/>
              <w:tr2bl w:val="nil"/>
            </w:tcBorders>
            <w:vAlign w:val="center"/>
          </w:tcPr>
          <w:p w14:paraId="2F96EEAF">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4C4F82D2">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0.0011</w:t>
            </w:r>
          </w:p>
        </w:tc>
        <w:tc>
          <w:tcPr>
            <w:tcW w:w="710" w:type="pct"/>
            <w:tcBorders>
              <w:tl2br w:val="nil"/>
              <w:tr2bl w:val="nil"/>
            </w:tcBorders>
            <w:vAlign w:val="center"/>
          </w:tcPr>
          <w:p w14:paraId="215A8490">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w:t>
            </w:r>
          </w:p>
        </w:tc>
      </w:tr>
      <w:tr w14:paraId="193D5B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0F3828D5">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18</w:t>
            </w:r>
          </w:p>
        </w:tc>
        <w:tc>
          <w:tcPr>
            <w:tcW w:w="740" w:type="pct"/>
            <w:tcBorders>
              <w:tl2br w:val="nil"/>
              <w:tr2bl w:val="nil"/>
            </w:tcBorders>
            <w:vAlign w:val="center"/>
          </w:tcPr>
          <w:p w14:paraId="78831BC3">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2-四氯乙烷</w:t>
            </w:r>
          </w:p>
        </w:tc>
        <w:tc>
          <w:tcPr>
            <w:tcW w:w="2168" w:type="pct"/>
            <w:tcBorders>
              <w:tl2br w:val="nil"/>
              <w:tr2bl w:val="nil"/>
            </w:tcBorders>
            <w:vAlign w:val="center"/>
          </w:tcPr>
          <w:p w14:paraId="58CD045F">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4C2D862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605-2011</w:t>
            </w:r>
          </w:p>
        </w:tc>
        <w:tc>
          <w:tcPr>
            <w:tcW w:w="481" w:type="pct"/>
            <w:tcBorders>
              <w:tl2br w:val="nil"/>
              <w:tr2bl w:val="nil"/>
            </w:tcBorders>
            <w:vAlign w:val="center"/>
          </w:tcPr>
          <w:p w14:paraId="0980779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207975AA">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0.0012</w:t>
            </w:r>
          </w:p>
        </w:tc>
        <w:tc>
          <w:tcPr>
            <w:tcW w:w="710" w:type="pct"/>
            <w:tcBorders>
              <w:tl2br w:val="nil"/>
              <w:tr2bl w:val="nil"/>
            </w:tcBorders>
            <w:vAlign w:val="center"/>
          </w:tcPr>
          <w:p w14:paraId="6EA3B400">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2.6</w:t>
            </w:r>
          </w:p>
        </w:tc>
      </w:tr>
      <w:tr w14:paraId="6B849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61EC7FA3">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19</w:t>
            </w:r>
          </w:p>
        </w:tc>
        <w:tc>
          <w:tcPr>
            <w:tcW w:w="740" w:type="pct"/>
            <w:tcBorders>
              <w:tl2br w:val="nil"/>
              <w:tr2bl w:val="nil"/>
            </w:tcBorders>
            <w:vAlign w:val="center"/>
          </w:tcPr>
          <w:p w14:paraId="48E98241">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2</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2-四氯乙烷</w:t>
            </w:r>
          </w:p>
        </w:tc>
        <w:tc>
          <w:tcPr>
            <w:tcW w:w="2168" w:type="pct"/>
            <w:tcBorders>
              <w:tl2br w:val="nil"/>
              <w:tr2bl w:val="nil"/>
            </w:tcBorders>
            <w:vAlign w:val="center"/>
          </w:tcPr>
          <w:p w14:paraId="4136E2FC">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71AEC28C">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605-2011</w:t>
            </w:r>
          </w:p>
        </w:tc>
        <w:tc>
          <w:tcPr>
            <w:tcW w:w="481" w:type="pct"/>
            <w:tcBorders>
              <w:tl2br w:val="nil"/>
              <w:tr2bl w:val="nil"/>
            </w:tcBorders>
            <w:vAlign w:val="center"/>
          </w:tcPr>
          <w:p w14:paraId="586A6F5E">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063F4264">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0.0012</w:t>
            </w:r>
          </w:p>
        </w:tc>
        <w:tc>
          <w:tcPr>
            <w:tcW w:w="710" w:type="pct"/>
            <w:tcBorders>
              <w:tl2br w:val="nil"/>
              <w:tr2bl w:val="nil"/>
            </w:tcBorders>
            <w:vAlign w:val="center"/>
          </w:tcPr>
          <w:p w14:paraId="43E2B69E">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1.6</w:t>
            </w:r>
          </w:p>
        </w:tc>
      </w:tr>
      <w:tr w14:paraId="60C92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59E3B0EB">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20</w:t>
            </w:r>
          </w:p>
        </w:tc>
        <w:tc>
          <w:tcPr>
            <w:tcW w:w="740" w:type="pct"/>
            <w:tcBorders>
              <w:tl2br w:val="nil"/>
              <w:tr2bl w:val="nil"/>
            </w:tcBorders>
            <w:vAlign w:val="center"/>
          </w:tcPr>
          <w:p w14:paraId="0F070F4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四氯乙烯</w:t>
            </w:r>
          </w:p>
        </w:tc>
        <w:tc>
          <w:tcPr>
            <w:tcW w:w="2168" w:type="pct"/>
            <w:tcBorders>
              <w:tl2br w:val="nil"/>
              <w:tr2bl w:val="nil"/>
            </w:tcBorders>
            <w:vAlign w:val="center"/>
          </w:tcPr>
          <w:p w14:paraId="1CE2ADFA">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3F3921B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605-2011</w:t>
            </w:r>
          </w:p>
        </w:tc>
        <w:tc>
          <w:tcPr>
            <w:tcW w:w="481" w:type="pct"/>
            <w:tcBorders>
              <w:tl2br w:val="nil"/>
              <w:tr2bl w:val="nil"/>
            </w:tcBorders>
            <w:vAlign w:val="center"/>
          </w:tcPr>
          <w:p w14:paraId="0DCF57C7">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66672F27">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0.0014</w:t>
            </w:r>
          </w:p>
        </w:tc>
        <w:tc>
          <w:tcPr>
            <w:tcW w:w="710" w:type="pct"/>
            <w:tcBorders>
              <w:tl2br w:val="nil"/>
              <w:tr2bl w:val="nil"/>
            </w:tcBorders>
            <w:vAlign w:val="center"/>
          </w:tcPr>
          <w:p w14:paraId="1F88DE69">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11</w:t>
            </w:r>
          </w:p>
        </w:tc>
      </w:tr>
      <w:tr w14:paraId="72D1C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1F65EE62">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21</w:t>
            </w:r>
          </w:p>
        </w:tc>
        <w:tc>
          <w:tcPr>
            <w:tcW w:w="740" w:type="pct"/>
            <w:tcBorders>
              <w:tl2br w:val="nil"/>
              <w:tr2bl w:val="nil"/>
            </w:tcBorders>
            <w:vAlign w:val="center"/>
          </w:tcPr>
          <w:p w14:paraId="2476D961">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1-三氯乙烷</w:t>
            </w:r>
          </w:p>
        </w:tc>
        <w:tc>
          <w:tcPr>
            <w:tcW w:w="2168" w:type="pct"/>
            <w:tcBorders>
              <w:tl2br w:val="nil"/>
              <w:tr2bl w:val="nil"/>
            </w:tcBorders>
            <w:vAlign w:val="center"/>
          </w:tcPr>
          <w:p w14:paraId="7E7E256B">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486E6924">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605-2011</w:t>
            </w:r>
          </w:p>
        </w:tc>
        <w:tc>
          <w:tcPr>
            <w:tcW w:w="481" w:type="pct"/>
            <w:tcBorders>
              <w:tl2br w:val="nil"/>
              <w:tr2bl w:val="nil"/>
            </w:tcBorders>
            <w:vAlign w:val="center"/>
          </w:tcPr>
          <w:p w14:paraId="4EC459E0">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5DB8D15F">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0.0014</w:t>
            </w:r>
          </w:p>
        </w:tc>
        <w:tc>
          <w:tcPr>
            <w:tcW w:w="710" w:type="pct"/>
            <w:tcBorders>
              <w:tl2br w:val="nil"/>
              <w:tr2bl w:val="nil"/>
            </w:tcBorders>
            <w:vAlign w:val="center"/>
          </w:tcPr>
          <w:p w14:paraId="1645120A">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701</w:t>
            </w:r>
          </w:p>
        </w:tc>
      </w:tr>
      <w:tr w14:paraId="71EFF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758CB31B">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22</w:t>
            </w:r>
          </w:p>
        </w:tc>
        <w:tc>
          <w:tcPr>
            <w:tcW w:w="740" w:type="pct"/>
            <w:tcBorders>
              <w:tl2br w:val="nil"/>
              <w:tr2bl w:val="nil"/>
            </w:tcBorders>
            <w:vAlign w:val="center"/>
          </w:tcPr>
          <w:p w14:paraId="31C0042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2-三氯乙烷</w:t>
            </w:r>
          </w:p>
        </w:tc>
        <w:tc>
          <w:tcPr>
            <w:tcW w:w="2168" w:type="pct"/>
            <w:tcBorders>
              <w:tl2br w:val="nil"/>
              <w:tr2bl w:val="nil"/>
            </w:tcBorders>
            <w:vAlign w:val="center"/>
          </w:tcPr>
          <w:p w14:paraId="2E6D0572">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2776AAC0">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605-2011</w:t>
            </w:r>
          </w:p>
        </w:tc>
        <w:tc>
          <w:tcPr>
            <w:tcW w:w="481" w:type="pct"/>
            <w:tcBorders>
              <w:tl2br w:val="nil"/>
              <w:tr2bl w:val="nil"/>
            </w:tcBorders>
            <w:vAlign w:val="center"/>
          </w:tcPr>
          <w:p w14:paraId="0E81546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128FC64B">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0.0012</w:t>
            </w:r>
          </w:p>
        </w:tc>
        <w:tc>
          <w:tcPr>
            <w:tcW w:w="710" w:type="pct"/>
            <w:tcBorders>
              <w:tl2br w:val="nil"/>
              <w:tr2bl w:val="nil"/>
            </w:tcBorders>
            <w:vAlign w:val="center"/>
          </w:tcPr>
          <w:p w14:paraId="30B6DAA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0.6</w:t>
            </w:r>
          </w:p>
        </w:tc>
      </w:tr>
      <w:tr w14:paraId="44118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1E04AB09">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23</w:t>
            </w:r>
          </w:p>
        </w:tc>
        <w:tc>
          <w:tcPr>
            <w:tcW w:w="740" w:type="pct"/>
            <w:tcBorders>
              <w:tl2br w:val="nil"/>
              <w:tr2bl w:val="nil"/>
            </w:tcBorders>
            <w:vAlign w:val="center"/>
          </w:tcPr>
          <w:p w14:paraId="34223257">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三氯乙烯</w:t>
            </w:r>
          </w:p>
        </w:tc>
        <w:tc>
          <w:tcPr>
            <w:tcW w:w="2168" w:type="pct"/>
            <w:tcBorders>
              <w:tl2br w:val="nil"/>
              <w:tr2bl w:val="nil"/>
            </w:tcBorders>
            <w:vAlign w:val="center"/>
          </w:tcPr>
          <w:p w14:paraId="1EF204AE">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45AA4F3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 xml:space="preserve"> </w:t>
            </w:r>
            <w:r>
              <w:rPr>
                <w:rFonts w:hint="default" w:ascii="Times New Roman" w:hAnsi="Times New Roman" w:eastAsia="仿宋" w:cs="Times New Roman"/>
                <w:color w:val="auto"/>
              </w:rPr>
              <w:t>HJ 605-2011</w:t>
            </w:r>
          </w:p>
        </w:tc>
        <w:tc>
          <w:tcPr>
            <w:tcW w:w="481" w:type="pct"/>
            <w:tcBorders>
              <w:tl2br w:val="nil"/>
              <w:tr2bl w:val="nil"/>
            </w:tcBorders>
            <w:vAlign w:val="center"/>
          </w:tcPr>
          <w:p w14:paraId="31ADE02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767DE71A">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0.0012</w:t>
            </w:r>
          </w:p>
        </w:tc>
        <w:tc>
          <w:tcPr>
            <w:tcW w:w="710" w:type="pct"/>
            <w:tcBorders>
              <w:tl2br w:val="nil"/>
              <w:tr2bl w:val="nil"/>
            </w:tcBorders>
            <w:vAlign w:val="center"/>
          </w:tcPr>
          <w:p w14:paraId="5717B89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0.7</w:t>
            </w:r>
          </w:p>
        </w:tc>
      </w:tr>
      <w:tr w14:paraId="44C86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7026E60C">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24</w:t>
            </w:r>
          </w:p>
        </w:tc>
        <w:tc>
          <w:tcPr>
            <w:tcW w:w="740" w:type="pct"/>
            <w:tcBorders>
              <w:tl2br w:val="nil"/>
              <w:tr2bl w:val="nil"/>
            </w:tcBorders>
            <w:vAlign w:val="center"/>
          </w:tcPr>
          <w:p w14:paraId="1F54418A">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2</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3-三氯丙烷</w:t>
            </w:r>
          </w:p>
        </w:tc>
        <w:tc>
          <w:tcPr>
            <w:tcW w:w="2168" w:type="pct"/>
            <w:tcBorders>
              <w:tl2br w:val="nil"/>
              <w:tr2bl w:val="nil"/>
            </w:tcBorders>
            <w:vAlign w:val="center"/>
          </w:tcPr>
          <w:p w14:paraId="7E630340">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3780B054">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605-2011</w:t>
            </w:r>
          </w:p>
        </w:tc>
        <w:tc>
          <w:tcPr>
            <w:tcW w:w="481" w:type="pct"/>
            <w:tcBorders>
              <w:tl2br w:val="nil"/>
              <w:tr2bl w:val="nil"/>
            </w:tcBorders>
            <w:vAlign w:val="center"/>
          </w:tcPr>
          <w:p w14:paraId="5EF94694">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1C158139">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0.0012</w:t>
            </w:r>
          </w:p>
        </w:tc>
        <w:tc>
          <w:tcPr>
            <w:tcW w:w="710" w:type="pct"/>
            <w:tcBorders>
              <w:tl2br w:val="nil"/>
              <w:tr2bl w:val="nil"/>
            </w:tcBorders>
            <w:vAlign w:val="center"/>
          </w:tcPr>
          <w:p w14:paraId="000B18F0">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0.05</w:t>
            </w:r>
          </w:p>
        </w:tc>
      </w:tr>
      <w:tr w14:paraId="1DF22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586F2F0E">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25</w:t>
            </w:r>
          </w:p>
        </w:tc>
        <w:tc>
          <w:tcPr>
            <w:tcW w:w="740" w:type="pct"/>
            <w:tcBorders>
              <w:tl2br w:val="nil"/>
              <w:tr2bl w:val="nil"/>
            </w:tcBorders>
            <w:vAlign w:val="center"/>
          </w:tcPr>
          <w:p w14:paraId="3C6D2313">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氯乙烯</w:t>
            </w:r>
          </w:p>
        </w:tc>
        <w:tc>
          <w:tcPr>
            <w:tcW w:w="2168" w:type="pct"/>
            <w:tcBorders>
              <w:tl2br w:val="nil"/>
              <w:tr2bl w:val="nil"/>
            </w:tcBorders>
            <w:vAlign w:val="center"/>
          </w:tcPr>
          <w:p w14:paraId="41E75476">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62A0146C">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 xml:space="preserve"> </w:t>
            </w:r>
            <w:r>
              <w:rPr>
                <w:rFonts w:hint="default" w:ascii="Times New Roman" w:hAnsi="Times New Roman" w:eastAsia="仿宋" w:cs="Times New Roman"/>
                <w:color w:val="auto"/>
              </w:rPr>
              <w:t>HJ 605-2011</w:t>
            </w:r>
          </w:p>
        </w:tc>
        <w:tc>
          <w:tcPr>
            <w:tcW w:w="481" w:type="pct"/>
            <w:tcBorders>
              <w:tl2br w:val="nil"/>
              <w:tr2bl w:val="nil"/>
            </w:tcBorders>
            <w:vAlign w:val="center"/>
          </w:tcPr>
          <w:p w14:paraId="323C601B">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513FC2BA">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w:t>
            </w:r>
          </w:p>
        </w:tc>
        <w:tc>
          <w:tcPr>
            <w:tcW w:w="710" w:type="pct"/>
            <w:tcBorders>
              <w:tl2br w:val="nil"/>
              <w:tr2bl w:val="nil"/>
            </w:tcBorders>
            <w:vAlign w:val="center"/>
          </w:tcPr>
          <w:p w14:paraId="161E2806">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0.12</w:t>
            </w:r>
          </w:p>
        </w:tc>
      </w:tr>
      <w:tr w14:paraId="44255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6E078FEF">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26</w:t>
            </w:r>
          </w:p>
        </w:tc>
        <w:tc>
          <w:tcPr>
            <w:tcW w:w="740" w:type="pct"/>
            <w:tcBorders>
              <w:tl2br w:val="nil"/>
              <w:tr2bl w:val="nil"/>
            </w:tcBorders>
            <w:vAlign w:val="center"/>
          </w:tcPr>
          <w:p w14:paraId="3329A5D5">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苯</w:t>
            </w:r>
          </w:p>
        </w:tc>
        <w:tc>
          <w:tcPr>
            <w:tcW w:w="2168" w:type="pct"/>
            <w:tcBorders>
              <w:tl2br w:val="nil"/>
              <w:tr2bl w:val="nil"/>
            </w:tcBorders>
            <w:vAlign w:val="center"/>
          </w:tcPr>
          <w:p w14:paraId="5FCBA655">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22B8EF6F">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605-2011</w:t>
            </w:r>
          </w:p>
        </w:tc>
        <w:tc>
          <w:tcPr>
            <w:tcW w:w="481" w:type="pct"/>
            <w:tcBorders>
              <w:tl2br w:val="nil"/>
              <w:tr2bl w:val="nil"/>
            </w:tcBorders>
            <w:vAlign w:val="center"/>
          </w:tcPr>
          <w:p w14:paraId="2BC64606">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70791FB4">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0.0019</w:t>
            </w:r>
          </w:p>
        </w:tc>
        <w:tc>
          <w:tcPr>
            <w:tcW w:w="710" w:type="pct"/>
            <w:tcBorders>
              <w:tl2br w:val="nil"/>
              <w:tr2bl w:val="nil"/>
            </w:tcBorders>
            <w:vAlign w:val="center"/>
          </w:tcPr>
          <w:p w14:paraId="71C24030">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w:t>
            </w:r>
          </w:p>
        </w:tc>
      </w:tr>
      <w:tr w14:paraId="19083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68B112EA">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27</w:t>
            </w:r>
          </w:p>
        </w:tc>
        <w:tc>
          <w:tcPr>
            <w:tcW w:w="740" w:type="pct"/>
            <w:tcBorders>
              <w:tl2br w:val="nil"/>
              <w:tr2bl w:val="nil"/>
            </w:tcBorders>
            <w:vAlign w:val="center"/>
          </w:tcPr>
          <w:p w14:paraId="6C2F7E10">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氯苯</w:t>
            </w:r>
          </w:p>
        </w:tc>
        <w:tc>
          <w:tcPr>
            <w:tcW w:w="2168" w:type="pct"/>
            <w:tcBorders>
              <w:tl2br w:val="nil"/>
              <w:tr2bl w:val="nil"/>
            </w:tcBorders>
            <w:vAlign w:val="center"/>
          </w:tcPr>
          <w:p w14:paraId="75040A98">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371760E1">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605-2011</w:t>
            </w:r>
          </w:p>
        </w:tc>
        <w:tc>
          <w:tcPr>
            <w:tcW w:w="481" w:type="pct"/>
            <w:tcBorders>
              <w:tl2br w:val="nil"/>
              <w:tr2bl w:val="nil"/>
            </w:tcBorders>
            <w:vAlign w:val="center"/>
          </w:tcPr>
          <w:p w14:paraId="16EC74BA">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0846C702">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0.0012</w:t>
            </w:r>
          </w:p>
        </w:tc>
        <w:tc>
          <w:tcPr>
            <w:tcW w:w="710" w:type="pct"/>
            <w:tcBorders>
              <w:tl2br w:val="nil"/>
              <w:tr2bl w:val="nil"/>
            </w:tcBorders>
            <w:vAlign w:val="center"/>
          </w:tcPr>
          <w:p w14:paraId="1E4D5D7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68</w:t>
            </w:r>
          </w:p>
        </w:tc>
      </w:tr>
      <w:tr w14:paraId="43F59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6BF2EA05">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28</w:t>
            </w:r>
          </w:p>
        </w:tc>
        <w:tc>
          <w:tcPr>
            <w:tcW w:w="740" w:type="pct"/>
            <w:tcBorders>
              <w:tl2br w:val="nil"/>
              <w:tr2bl w:val="nil"/>
            </w:tcBorders>
            <w:vAlign w:val="center"/>
          </w:tcPr>
          <w:p w14:paraId="6108C517">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2-二氯苯</w:t>
            </w:r>
          </w:p>
        </w:tc>
        <w:tc>
          <w:tcPr>
            <w:tcW w:w="2168" w:type="pct"/>
            <w:tcBorders>
              <w:tl2br w:val="nil"/>
              <w:tr2bl w:val="nil"/>
            </w:tcBorders>
            <w:vAlign w:val="center"/>
          </w:tcPr>
          <w:p w14:paraId="287DE630">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00F48952">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 xml:space="preserve"> </w:t>
            </w:r>
            <w:r>
              <w:rPr>
                <w:rFonts w:hint="default" w:ascii="Times New Roman" w:hAnsi="Times New Roman" w:eastAsia="仿宋" w:cs="Times New Roman"/>
                <w:color w:val="auto"/>
              </w:rPr>
              <w:t>HJ 605-2011</w:t>
            </w:r>
          </w:p>
        </w:tc>
        <w:tc>
          <w:tcPr>
            <w:tcW w:w="481" w:type="pct"/>
            <w:tcBorders>
              <w:tl2br w:val="nil"/>
              <w:tr2bl w:val="nil"/>
            </w:tcBorders>
            <w:vAlign w:val="center"/>
          </w:tcPr>
          <w:p w14:paraId="4044C603">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296D35E9">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0.0015</w:t>
            </w:r>
          </w:p>
        </w:tc>
        <w:tc>
          <w:tcPr>
            <w:tcW w:w="710" w:type="pct"/>
            <w:tcBorders>
              <w:tl2br w:val="nil"/>
              <w:tr2bl w:val="nil"/>
            </w:tcBorders>
            <w:vAlign w:val="center"/>
          </w:tcPr>
          <w:p w14:paraId="5DBA0243">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560</w:t>
            </w:r>
          </w:p>
        </w:tc>
      </w:tr>
      <w:tr w14:paraId="57EF5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409F9DEF">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29</w:t>
            </w:r>
          </w:p>
        </w:tc>
        <w:tc>
          <w:tcPr>
            <w:tcW w:w="740" w:type="pct"/>
            <w:tcBorders>
              <w:tl2br w:val="nil"/>
              <w:tr2bl w:val="nil"/>
            </w:tcBorders>
            <w:vAlign w:val="center"/>
          </w:tcPr>
          <w:p w14:paraId="467ABE4E">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4-二氯苯</w:t>
            </w:r>
          </w:p>
        </w:tc>
        <w:tc>
          <w:tcPr>
            <w:tcW w:w="2168" w:type="pct"/>
            <w:tcBorders>
              <w:tl2br w:val="nil"/>
              <w:tr2bl w:val="nil"/>
            </w:tcBorders>
            <w:vAlign w:val="center"/>
          </w:tcPr>
          <w:p w14:paraId="6DE38010">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4BB4DBD3">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 xml:space="preserve"> </w:t>
            </w:r>
            <w:r>
              <w:rPr>
                <w:rFonts w:hint="default" w:ascii="Times New Roman" w:hAnsi="Times New Roman" w:eastAsia="仿宋" w:cs="Times New Roman"/>
                <w:color w:val="auto"/>
              </w:rPr>
              <w:t>HJ 605-2011</w:t>
            </w:r>
          </w:p>
        </w:tc>
        <w:tc>
          <w:tcPr>
            <w:tcW w:w="481" w:type="pct"/>
            <w:tcBorders>
              <w:tl2br w:val="nil"/>
              <w:tr2bl w:val="nil"/>
            </w:tcBorders>
            <w:vAlign w:val="center"/>
          </w:tcPr>
          <w:p w14:paraId="74620AC9">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7044B8C1">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0.0015</w:t>
            </w:r>
          </w:p>
        </w:tc>
        <w:tc>
          <w:tcPr>
            <w:tcW w:w="710" w:type="pct"/>
            <w:tcBorders>
              <w:tl2br w:val="nil"/>
              <w:tr2bl w:val="nil"/>
            </w:tcBorders>
            <w:vAlign w:val="center"/>
          </w:tcPr>
          <w:p w14:paraId="1770A825">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5.6</w:t>
            </w:r>
          </w:p>
        </w:tc>
      </w:tr>
      <w:tr w14:paraId="3781DB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1454D675">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30</w:t>
            </w:r>
          </w:p>
        </w:tc>
        <w:tc>
          <w:tcPr>
            <w:tcW w:w="740" w:type="pct"/>
            <w:tcBorders>
              <w:tl2br w:val="nil"/>
              <w:tr2bl w:val="nil"/>
            </w:tcBorders>
            <w:vAlign w:val="center"/>
          </w:tcPr>
          <w:p w14:paraId="15B3F6D6">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乙苯</w:t>
            </w:r>
          </w:p>
        </w:tc>
        <w:tc>
          <w:tcPr>
            <w:tcW w:w="2168" w:type="pct"/>
            <w:tcBorders>
              <w:tl2br w:val="nil"/>
              <w:tr2bl w:val="nil"/>
            </w:tcBorders>
            <w:vAlign w:val="center"/>
          </w:tcPr>
          <w:p w14:paraId="3411294A">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1169C28B">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 xml:space="preserve"> </w:t>
            </w:r>
            <w:r>
              <w:rPr>
                <w:rFonts w:hint="default" w:ascii="Times New Roman" w:hAnsi="Times New Roman" w:eastAsia="仿宋" w:cs="Times New Roman"/>
                <w:color w:val="auto"/>
              </w:rPr>
              <w:t>HJ 605-2011</w:t>
            </w:r>
          </w:p>
        </w:tc>
        <w:tc>
          <w:tcPr>
            <w:tcW w:w="481" w:type="pct"/>
            <w:tcBorders>
              <w:tl2br w:val="nil"/>
              <w:tr2bl w:val="nil"/>
            </w:tcBorders>
            <w:vAlign w:val="center"/>
          </w:tcPr>
          <w:p w14:paraId="21590CF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70540C1E">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0.0012</w:t>
            </w:r>
          </w:p>
        </w:tc>
        <w:tc>
          <w:tcPr>
            <w:tcW w:w="710" w:type="pct"/>
            <w:tcBorders>
              <w:tl2br w:val="nil"/>
              <w:tr2bl w:val="nil"/>
            </w:tcBorders>
            <w:vAlign w:val="center"/>
          </w:tcPr>
          <w:p w14:paraId="6361BC4E">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7.2</w:t>
            </w:r>
          </w:p>
        </w:tc>
      </w:tr>
      <w:tr w14:paraId="44BA7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0BC5C53B">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31</w:t>
            </w:r>
          </w:p>
        </w:tc>
        <w:tc>
          <w:tcPr>
            <w:tcW w:w="740" w:type="pct"/>
            <w:tcBorders>
              <w:tl2br w:val="nil"/>
              <w:tr2bl w:val="nil"/>
            </w:tcBorders>
            <w:vAlign w:val="center"/>
          </w:tcPr>
          <w:p w14:paraId="3D2C0FC5">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苯乙烯</w:t>
            </w:r>
          </w:p>
        </w:tc>
        <w:tc>
          <w:tcPr>
            <w:tcW w:w="2168" w:type="pct"/>
            <w:tcBorders>
              <w:tl2br w:val="nil"/>
              <w:tr2bl w:val="nil"/>
            </w:tcBorders>
            <w:vAlign w:val="center"/>
          </w:tcPr>
          <w:p w14:paraId="5E65E044">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0559798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 xml:space="preserve"> </w:t>
            </w:r>
            <w:r>
              <w:rPr>
                <w:rFonts w:hint="default" w:ascii="Times New Roman" w:hAnsi="Times New Roman" w:eastAsia="仿宋" w:cs="Times New Roman"/>
                <w:color w:val="auto"/>
              </w:rPr>
              <w:t>HJ 605-2011</w:t>
            </w:r>
          </w:p>
        </w:tc>
        <w:tc>
          <w:tcPr>
            <w:tcW w:w="481" w:type="pct"/>
            <w:tcBorders>
              <w:tl2br w:val="nil"/>
              <w:tr2bl w:val="nil"/>
            </w:tcBorders>
            <w:vAlign w:val="center"/>
          </w:tcPr>
          <w:p w14:paraId="54980E4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68698D24">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0.0011</w:t>
            </w:r>
          </w:p>
        </w:tc>
        <w:tc>
          <w:tcPr>
            <w:tcW w:w="710" w:type="pct"/>
            <w:tcBorders>
              <w:tl2br w:val="nil"/>
              <w:tr2bl w:val="nil"/>
            </w:tcBorders>
            <w:vAlign w:val="center"/>
          </w:tcPr>
          <w:p w14:paraId="345890DF">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1290</w:t>
            </w:r>
          </w:p>
        </w:tc>
      </w:tr>
      <w:tr w14:paraId="53C66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40BFF0FA">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32</w:t>
            </w:r>
          </w:p>
        </w:tc>
        <w:tc>
          <w:tcPr>
            <w:tcW w:w="740" w:type="pct"/>
            <w:tcBorders>
              <w:tl2br w:val="nil"/>
              <w:tr2bl w:val="nil"/>
            </w:tcBorders>
            <w:vAlign w:val="center"/>
          </w:tcPr>
          <w:p w14:paraId="1E8C7EB7">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甲苯</w:t>
            </w:r>
          </w:p>
        </w:tc>
        <w:tc>
          <w:tcPr>
            <w:tcW w:w="2168" w:type="pct"/>
            <w:tcBorders>
              <w:tl2br w:val="nil"/>
              <w:tr2bl w:val="nil"/>
            </w:tcBorders>
            <w:vAlign w:val="center"/>
          </w:tcPr>
          <w:p w14:paraId="0EE5E86F">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25129569">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605-2011</w:t>
            </w:r>
          </w:p>
        </w:tc>
        <w:tc>
          <w:tcPr>
            <w:tcW w:w="481" w:type="pct"/>
            <w:tcBorders>
              <w:tl2br w:val="nil"/>
              <w:tr2bl w:val="nil"/>
            </w:tcBorders>
            <w:vAlign w:val="center"/>
          </w:tcPr>
          <w:p w14:paraId="54FAA1A1">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2E177814">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0.0013</w:t>
            </w:r>
          </w:p>
        </w:tc>
        <w:tc>
          <w:tcPr>
            <w:tcW w:w="710" w:type="pct"/>
            <w:tcBorders>
              <w:tl2br w:val="nil"/>
              <w:tr2bl w:val="nil"/>
            </w:tcBorders>
            <w:vAlign w:val="center"/>
          </w:tcPr>
          <w:p w14:paraId="556661E5">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1200</w:t>
            </w:r>
          </w:p>
        </w:tc>
      </w:tr>
      <w:tr w14:paraId="2F161F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7D135244">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33</w:t>
            </w:r>
          </w:p>
        </w:tc>
        <w:tc>
          <w:tcPr>
            <w:tcW w:w="740" w:type="pct"/>
            <w:tcBorders>
              <w:tl2br w:val="nil"/>
              <w:tr2bl w:val="nil"/>
            </w:tcBorders>
            <w:vAlign w:val="center"/>
          </w:tcPr>
          <w:p w14:paraId="6947EFF7">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间二甲苯+对二甲苯</w:t>
            </w:r>
          </w:p>
        </w:tc>
        <w:tc>
          <w:tcPr>
            <w:tcW w:w="2168" w:type="pct"/>
            <w:tcBorders>
              <w:tl2br w:val="nil"/>
              <w:tr2bl w:val="nil"/>
            </w:tcBorders>
            <w:vAlign w:val="center"/>
          </w:tcPr>
          <w:p w14:paraId="07CDBAEA">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7A8850DC">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605-2011</w:t>
            </w:r>
          </w:p>
        </w:tc>
        <w:tc>
          <w:tcPr>
            <w:tcW w:w="481" w:type="pct"/>
            <w:tcBorders>
              <w:tl2br w:val="nil"/>
              <w:tr2bl w:val="nil"/>
            </w:tcBorders>
            <w:vAlign w:val="center"/>
          </w:tcPr>
          <w:p w14:paraId="5A930E6B">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569CFA82">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0.0012</w:t>
            </w:r>
          </w:p>
        </w:tc>
        <w:tc>
          <w:tcPr>
            <w:tcW w:w="710" w:type="pct"/>
            <w:tcBorders>
              <w:tl2br w:val="nil"/>
              <w:tr2bl w:val="nil"/>
            </w:tcBorders>
            <w:vAlign w:val="center"/>
          </w:tcPr>
          <w:p w14:paraId="5F432CAF">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163</w:t>
            </w:r>
          </w:p>
        </w:tc>
      </w:tr>
      <w:tr w14:paraId="0CA71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7EB5CC05">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34</w:t>
            </w:r>
          </w:p>
        </w:tc>
        <w:tc>
          <w:tcPr>
            <w:tcW w:w="740" w:type="pct"/>
            <w:tcBorders>
              <w:tl2br w:val="nil"/>
              <w:tr2bl w:val="nil"/>
            </w:tcBorders>
            <w:vAlign w:val="center"/>
          </w:tcPr>
          <w:p w14:paraId="1F60C624">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邻二甲苯</w:t>
            </w:r>
          </w:p>
        </w:tc>
        <w:tc>
          <w:tcPr>
            <w:tcW w:w="2168" w:type="pct"/>
            <w:tcBorders>
              <w:tl2br w:val="nil"/>
              <w:tr2bl w:val="nil"/>
            </w:tcBorders>
            <w:vAlign w:val="center"/>
          </w:tcPr>
          <w:p w14:paraId="5E9E2353">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挥发性有机物的测定  吹扫捕集/气相色谱-质谱法  </w:t>
            </w:r>
          </w:p>
          <w:p w14:paraId="73BE159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605-2011</w:t>
            </w:r>
          </w:p>
        </w:tc>
        <w:tc>
          <w:tcPr>
            <w:tcW w:w="481" w:type="pct"/>
            <w:tcBorders>
              <w:tl2br w:val="nil"/>
              <w:tr2bl w:val="nil"/>
            </w:tcBorders>
            <w:vAlign w:val="center"/>
          </w:tcPr>
          <w:p w14:paraId="5E4F5E61">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25E49A50">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0.0012</w:t>
            </w:r>
          </w:p>
        </w:tc>
        <w:tc>
          <w:tcPr>
            <w:tcW w:w="710" w:type="pct"/>
            <w:tcBorders>
              <w:tl2br w:val="nil"/>
              <w:tr2bl w:val="nil"/>
            </w:tcBorders>
            <w:vAlign w:val="center"/>
          </w:tcPr>
          <w:p w14:paraId="4E00B831">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222</w:t>
            </w:r>
          </w:p>
        </w:tc>
      </w:tr>
      <w:tr w14:paraId="0A4CE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00C797A2">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35</w:t>
            </w:r>
          </w:p>
        </w:tc>
        <w:tc>
          <w:tcPr>
            <w:tcW w:w="740" w:type="pct"/>
            <w:tcBorders>
              <w:tl2br w:val="nil"/>
              <w:tr2bl w:val="nil"/>
            </w:tcBorders>
            <w:vAlign w:val="center"/>
          </w:tcPr>
          <w:p w14:paraId="0410C2E6">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硝基苯</w:t>
            </w:r>
          </w:p>
        </w:tc>
        <w:tc>
          <w:tcPr>
            <w:tcW w:w="2168" w:type="pct"/>
            <w:tcBorders>
              <w:tl2br w:val="nil"/>
              <w:tr2bl w:val="nil"/>
            </w:tcBorders>
            <w:vAlign w:val="center"/>
          </w:tcPr>
          <w:p w14:paraId="1211A902">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半挥发性有机物的测定 气相色谱-质谱法</w:t>
            </w:r>
          </w:p>
          <w:p w14:paraId="4A8D5A3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834-2017</w:t>
            </w:r>
          </w:p>
        </w:tc>
        <w:tc>
          <w:tcPr>
            <w:tcW w:w="481" w:type="pct"/>
            <w:tcBorders>
              <w:tl2br w:val="nil"/>
              <w:tr2bl w:val="nil"/>
            </w:tcBorders>
            <w:vAlign w:val="center"/>
          </w:tcPr>
          <w:p w14:paraId="2BCB0286">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262C951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0.09</w:t>
            </w:r>
          </w:p>
        </w:tc>
        <w:tc>
          <w:tcPr>
            <w:tcW w:w="710" w:type="pct"/>
            <w:tcBorders>
              <w:tl2br w:val="nil"/>
              <w:tr2bl w:val="nil"/>
            </w:tcBorders>
            <w:vAlign w:val="center"/>
          </w:tcPr>
          <w:p w14:paraId="1761497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34</w:t>
            </w:r>
          </w:p>
        </w:tc>
      </w:tr>
      <w:tr w14:paraId="4D12B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441E49AE">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36</w:t>
            </w:r>
          </w:p>
        </w:tc>
        <w:tc>
          <w:tcPr>
            <w:tcW w:w="740" w:type="pct"/>
            <w:tcBorders>
              <w:tl2br w:val="nil"/>
              <w:tr2bl w:val="nil"/>
            </w:tcBorders>
            <w:vAlign w:val="center"/>
          </w:tcPr>
          <w:p w14:paraId="58FD81B5">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苯胺</w:t>
            </w:r>
          </w:p>
        </w:tc>
        <w:tc>
          <w:tcPr>
            <w:tcW w:w="2168" w:type="pct"/>
            <w:tcBorders>
              <w:tl2br w:val="nil"/>
              <w:tr2bl w:val="nil"/>
            </w:tcBorders>
            <w:vAlign w:val="center"/>
          </w:tcPr>
          <w:p w14:paraId="1065F35E">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13种苯胺类和2中联苯胺类化合物的测定 液相色谱-三重四极杆质谱法HJ 1210-2021</w:t>
            </w:r>
          </w:p>
        </w:tc>
        <w:tc>
          <w:tcPr>
            <w:tcW w:w="481" w:type="pct"/>
            <w:tcBorders>
              <w:tl2br w:val="nil"/>
              <w:tr2bl w:val="nil"/>
            </w:tcBorders>
            <w:vAlign w:val="center"/>
          </w:tcPr>
          <w:p w14:paraId="3236253B">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623F183B">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rPr>
              <w:t>0.0</w:t>
            </w:r>
            <w:r>
              <w:rPr>
                <w:rFonts w:hint="default" w:ascii="Times New Roman" w:hAnsi="Times New Roman" w:eastAsia="仿宋" w:cs="Times New Roman"/>
                <w:color w:val="auto"/>
                <w:lang w:eastAsia="zh-CN"/>
              </w:rPr>
              <w:t>02</w:t>
            </w:r>
          </w:p>
        </w:tc>
        <w:tc>
          <w:tcPr>
            <w:tcW w:w="710" w:type="pct"/>
            <w:tcBorders>
              <w:tl2br w:val="nil"/>
              <w:tr2bl w:val="nil"/>
            </w:tcBorders>
            <w:vAlign w:val="center"/>
          </w:tcPr>
          <w:p w14:paraId="29917A6F">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92</w:t>
            </w:r>
          </w:p>
        </w:tc>
      </w:tr>
      <w:tr w14:paraId="74C31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61EF9BCB">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37</w:t>
            </w:r>
          </w:p>
        </w:tc>
        <w:tc>
          <w:tcPr>
            <w:tcW w:w="740" w:type="pct"/>
            <w:tcBorders>
              <w:tl2br w:val="nil"/>
              <w:tr2bl w:val="nil"/>
            </w:tcBorders>
            <w:vAlign w:val="center"/>
          </w:tcPr>
          <w:p w14:paraId="4038B867">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2-氯酚</w:t>
            </w:r>
          </w:p>
        </w:tc>
        <w:tc>
          <w:tcPr>
            <w:tcW w:w="2168" w:type="pct"/>
            <w:tcBorders>
              <w:tl2br w:val="nil"/>
              <w:tr2bl w:val="nil"/>
            </w:tcBorders>
            <w:vAlign w:val="center"/>
          </w:tcPr>
          <w:p w14:paraId="5B071258">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半挥发性有机物的测定 气相色谱-质谱法</w:t>
            </w:r>
          </w:p>
          <w:p w14:paraId="3957AC63">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HJ 834-2017</w:t>
            </w:r>
          </w:p>
        </w:tc>
        <w:tc>
          <w:tcPr>
            <w:tcW w:w="481" w:type="pct"/>
            <w:tcBorders>
              <w:tl2br w:val="nil"/>
              <w:tr2bl w:val="nil"/>
            </w:tcBorders>
            <w:vAlign w:val="center"/>
          </w:tcPr>
          <w:p w14:paraId="737D1373">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2060198A">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rPr>
              <w:t>0.0</w:t>
            </w:r>
            <w:r>
              <w:rPr>
                <w:rFonts w:hint="default" w:ascii="Times New Roman" w:hAnsi="Times New Roman" w:eastAsia="仿宋" w:cs="Times New Roman"/>
                <w:color w:val="auto"/>
                <w:lang w:eastAsia="zh-CN"/>
              </w:rPr>
              <w:t>6</w:t>
            </w:r>
          </w:p>
        </w:tc>
        <w:tc>
          <w:tcPr>
            <w:tcW w:w="710" w:type="pct"/>
            <w:tcBorders>
              <w:tl2br w:val="nil"/>
              <w:tr2bl w:val="nil"/>
            </w:tcBorders>
            <w:vAlign w:val="center"/>
          </w:tcPr>
          <w:p w14:paraId="21C0993A">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250</w:t>
            </w:r>
          </w:p>
        </w:tc>
      </w:tr>
      <w:tr w14:paraId="7312CD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7AF9F2D7">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38</w:t>
            </w:r>
          </w:p>
        </w:tc>
        <w:tc>
          <w:tcPr>
            <w:tcW w:w="740" w:type="pct"/>
            <w:tcBorders>
              <w:tl2br w:val="nil"/>
              <w:tr2bl w:val="nil"/>
            </w:tcBorders>
            <w:vAlign w:val="center"/>
          </w:tcPr>
          <w:p w14:paraId="61E62A66">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苯并[a]蒽</w:t>
            </w:r>
          </w:p>
        </w:tc>
        <w:tc>
          <w:tcPr>
            <w:tcW w:w="2168" w:type="pct"/>
            <w:tcBorders>
              <w:tl2br w:val="nil"/>
              <w:tr2bl w:val="nil"/>
            </w:tcBorders>
            <w:vAlign w:val="center"/>
          </w:tcPr>
          <w:p w14:paraId="55F5747A">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半挥发性有机物的测定 气相色谱-质谱法HJ 834-2017</w:t>
            </w:r>
          </w:p>
        </w:tc>
        <w:tc>
          <w:tcPr>
            <w:tcW w:w="481" w:type="pct"/>
            <w:tcBorders>
              <w:tl2br w:val="nil"/>
              <w:tr2bl w:val="nil"/>
            </w:tcBorders>
            <w:vAlign w:val="center"/>
          </w:tcPr>
          <w:p w14:paraId="44825BF7">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580EDEEE">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rPr>
              <w:t>0.</w:t>
            </w:r>
            <w:r>
              <w:rPr>
                <w:rFonts w:hint="default" w:ascii="Times New Roman" w:hAnsi="Times New Roman" w:eastAsia="仿宋" w:cs="Times New Roman"/>
                <w:color w:val="auto"/>
                <w:lang w:eastAsia="zh-CN"/>
              </w:rPr>
              <w:t>1</w:t>
            </w:r>
          </w:p>
        </w:tc>
        <w:tc>
          <w:tcPr>
            <w:tcW w:w="710" w:type="pct"/>
            <w:tcBorders>
              <w:tl2br w:val="nil"/>
              <w:tr2bl w:val="nil"/>
            </w:tcBorders>
            <w:vAlign w:val="center"/>
          </w:tcPr>
          <w:p w14:paraId="4D8B463F">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5.5</w:t>
            </w:r>
          </w:p>
        </w:tc>
      </w:tr>
      <w:tr w14:paraId="362DB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335EE58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39</w:t>
            </w:r>
          </w:p>
        </w:tc>
        <w:tc>
          <w:tcPr>
            <w:tcW w:w="740" w:type="pct"/>
            <w:tcBorders>
              <w:tl2br w:val="nil"/>
              <w:tr2bl w:val="nil"/>
            </w:tcBorders>
            <w:vAlign w:val="center"/>
          </w:tcPr>
          <w:p w14:paraId="5A9912E2">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苯并[a]芘</w:t>
            </w:r>
          </w:p>
        </w:tc>
        <w:tc>
          <w:tcPr>
            <w:tcW w:w="2168" w:type="pct"/>
            <w:tcBorders>
              <w:tl2br w:val="nil"/>
              <w:tr2bl w:val="nil"/>
            </w:tcBorders>
            <w:vAlign w:val="center"/>
          </w:tcPr>
          <w:p w14:paraId="3D765EF0">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半挥发性有机物的测定 气相色谱-质谱法HJ 834-2017</w:t>
            </w:r>
          </w:p>
        </w:tc>
        <w:tc>
          <w:tcPr>
            <w:tcW w:w="481" w:type="pct"/>
            <w:tcBorders>
              <w:tl2br w:val="nil"/>
              <w:tr2bl w:val="nil"/>
            </w:tcBorders>
            <w:vAlign w:val="center"/>
          </w:tcPr>
          <w:p w14:paraId="0124FA2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029E53CA">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rPr>
              <w:t>0.</w:t>
            </w:r>
            <w:r>
              <w:rPr>
                <w:rFonts w:hint="default" w:ascii="Times New Roman" w:hAnsi="Times New Roman" w:eastAsia="仿宋" w:cs="Times New Roman"/>
                <w:color w:val="auto"/>
                <w:lang w:eastAsia="zh-CN"/>
              </w:rPr>
              <w:t>1</w:t>
            </w:r>
          </w:p>
        </w:tc>
        <w:tc>
          <w:tcPr>
            <w:tcW w:w="710" w:type="pct"/>
            <w:tcBorders>
              <w:tl2br w:val="nil"/>
              <w:tr2bl w:val="nil"/>
            </w:tcBorders>
            <w:vAlign w:val="center"/>
          </w:tcPr>
          <w:p w14:paraId="0F010BC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0.55</w:t>
            </w:r>
          </w:p>
        </w:tc>
      </w:tr>
      <w:tr w14:paraId="0AAD7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1362470F">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40</w:t>
            </w:r>
          </w:p>
        </w:tc>
        <w:tc>
          <w:tcPr>
            <w:tcW w:w="740" w:type="pct"/>
            <w:tcBorders>
              <w:tl2br w:val="nil"/>
              <w:tr2bl w:val="nil"/>
            </w:tcBorders>
            <w:vAlign w:val="center"/>
          </w:tcPr>
          <w:p w14:paraId="3C4CCA70">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苯并[b]荧蒽</w:t>
            </w:r>
          </w:p>
        </w:tc>
        <w:tc>
          <w:tcPr>
            <w:tcW w:w="2168" w:type="pct"/>
            <w:tcBorders>
              <w:tl2br w:val="nil"/>
              <w:tr2bl w:val="nil"/>
            </w:tcBorders>
            <w:vAlign w:val="center"/>
          </w:tcPr>
          <w:p w14:paraId="68FF092B">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半挥发性有机物的测定 气相色谱-质谱法HJ 834-2017</w:t>
            </w:r>
          </w:p>
        </w:tc>
        <w:tc>
          <w:tcPr>
            <w:tcW w:w="481" w:type="pct"/>
            <w:tcBorders>
              <w:tl2br w:val="nil"/>
              <w:tr2bl w:val="nil"/>
            </w:tcBorders>
            <w:vAlign w:val="center"/>
          </w:tcPr>
          <w:p w14:paraId="1B0FB8B3">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452D6B17">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0.2</w:t>
            </w:r>
          </w:p>
        </w:tc>
        <w:tc>
          <w:tcPr>
            <w:tcW w:w="710" w:type="pct"/>
            <w:tcBorders>
              <w:tl2br w:val="nil"/>
              <w:tr2bl w:val="nil"/>
            </w:tcBorders>
            <w:vAlign w:val="center"/>
          </w:tcPr>
          <w:p w14:paraId="7A7236CE">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5.5</w:t>
            </w:r>
          </w:p>
        </w:tc>
      </w:tr>
      <w:tr w14:paraId="1202E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3C4C7E43">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41</w:t>
            </w:r>
          </w:p>
        </w:tc>
        <w:tc>
          <w:tcPr>
            <w:tcW w:w="740" w:type="pct"/>
            <w:tcBorders>
              <w:tl2br w:val="nil"/>
              <w:tr2bl w:val="nil"/>
            </w:tcBorders>
            <w:vAlign w:val="center"/>
          </w:tcPr>
          <w:p w14:paraId="5D9492E0">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苯并[k]荧蒽</w:t>
            </w:r>
          </w:p>
        </w:tc>
        <w:tc>
          <w:tcPr>
            <w:tcW w:w="2168" w:type="pct"/>
            <w:tcBorders>
              <w:tl2br w:val="nil"/>
              <w:tr2bl w:val="nil"/>
            </w:tcBorders>
            <w:vAlign w:val="center"/>
          </w:tcPr>
          <w:p w14:paraId="27D3809B">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半挥发性有机物的测定 气相色谱-质谱法HJ 834-2017</w:t>
            </w:r>
          </w:p>
        </w:tc>
        <w:tc>
          <w:tcPr>
            <w:tcW w:w="481" w:type="pct"/>
            <w:tcBorders>
              <w:tl2br w:val="nil"/>
              <w:tr2bl w:val="nil"/>
            </w:tcBorders>
            <w:vAlign w:val="center"/>
          </w:tcPr>
          <w:p w14:paraId="77F97CFE">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393D0F70">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rPr>
              <w:t>0.</w:t>
            </w:r>
            <w:r>
              <w:rPr>
                <w:rFonts w:hint="default" w:ascii="Times New Roman" w:hAnsi="Times New Roman" w:eastAsia="仿宋" w:cs="Times New Roman"/>
                <w:color w:val="auto"/>
                <w:lang w:eastAsia="zh-CN"/>
              </w:rPr>
              <w:t>1</w:t>
            </w:r>
          </w:p>
        </w:tc>
        <w:tc>
          <w:tcPr>
            <w:tcW w:w="710" w:type="pct"/>
            <w:tcBorders>
              <w:tl2br w:val="nil"/>
              <w:tr2bl w:val="nil"/>
            </w:tcBorders>
            <w:vAlign w:val="center"/>
          </w:tcPr>
          <w:p w14:paraId="76861C91">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55</w:t>
            </w:r>
          </w:p>
        </w:tc>
      </w:tr>
      <w:tr w14:paraId="619397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1394009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42</w:t>
            </w:r>
          </w:p>
        </w:tc>
        <w:tc>
          <w:tcPr>
            <w:tcW w:w="740" w:type="pct"/>
            <w:tcBorders>
              <w:tl2br w:val="nil"/>
              <w:tr2bl w:val="nil"/>
            </w:tcBorders>
            <w:vAlign w:val="center"/>
          </w:tcPr>
          <w:p w14:paraId="2FE7924C">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䓛</w:t>
            </w:r>
          </w:p>
        </w:tc>
        <w:tc>
          <w:tcPr>
            <w:tcW w:w="2168" w:type="pct"/>
            <w:tcBorders>
              <w:tl2br w:val="nil"/>
              <w:tr2bl w:val="nil"/>
            </w:tcBorders>
            <w:vAlign w:val="center"/>
          </w:tcPr>
          <w:p w14:paraId="61E44799">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半挥发性有机物的测定 气相色谱-质谱法HJ 834-2017</w:t>
            </w:r>
          </w:p>
        </w:tc>
        <w:tc>
          <w:tcPr>
            <w:tcW w:w="481" w:type="pct"/>
            <w:tcBorders>
              <w:tl2br w:val="nil"/>
              <w:tr2bl w:val="nil"/>
            </w:tcBorders>
            <w:vAlign w:val="center"/>
          </w:tcPr>
          <w:p w14:paraId="0D9B9832">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252A60F3">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rPr>
              <w:t>0.</w:t>
            </w:r>
            <w:r>
              <w:rPr>
                <w:rFonts w:hint="default" w:ascii="Times New Roman" w:hAnsi="Times New Roman" w:eastAsia="仿宋" w:cs="Times New Roman"/>
                <w:color w:val="auto"/>
                <w:lang w:eastAsia="zh-CN"/>
              </w:rPr>
              <w:t>1</w:t>
            </w:r>
          </w:p>
        </w:tc>
        <w:tc>
          <w:tcPr>
            <w:tcW w:w="710" w:type="pct"/>
            <w:tcBorders>
              <w:tl2br w:val="nil"/>
              <w:tr2bl w:val="nil"/>
            </w:tcBorders>
            <w:vAlign w:val="center"/>
          </w:tcPr>
          <w:p w14:paraId="65D61940">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490</w:t>
            </w:r>
          </w:p>
        </w:tc>
      </w:tr>
      <w:tr w14:paraId="15EDC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7621144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43</w:t>
            </w:r>
          </w:p>
        </w:tc>
        <w:tc>
          <w:tcPr>
            <w:tcW w:w="740" w:type="pct"/>
            <w:tcBorders>
              <w:tl2br w:val="nil"/>
              <w:tr2bl w:val="nil"/>
            </w:tcBorders>
            <w:vAlign w:val="center"/>
          </w:tcPr>
          <w:p w14:paraId="6E13F2C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二苯并[a</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h]蒽</w:t>
            </w:r>
          </w:p>
        </w:tc>
        <w:tc>
          <w:tcPr>
            <w:tcW w:w="2168" w:type="pct"/>
            <w:tcBorders>
              <w:tl2br w:val="nil"/>
              <w:tr2bl w:val="nil"/>
            </w:tcBorders>
            <w:vAlign w:val="center"/>
          </w:tcPr>
          <w:p w14:paraId="0E55E0C4">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半挥发性有机物的测定 气相色谱-质谱法HJ 834-2017</w:t>
            </w:r>
          </w:p>
        </w:tc>
        <w:tc>
          <w:tcPr>
            <w:tcW w:w="481" w:type="pct"/>
            <w:tcBorders>
              <w:tl2br w:val="nil"/>
              <w:tr2bl w:val="nil"/>
            </w:tcBorders>
            <w:vAlign w:val="center"/>
          </w:tcPr>
          <w:p w14:paraId="0F9C674B">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7E336289">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0.1</w:t>
            </w:r>
          </w:p>
        </w:tc>
        <w:tc>
          <w:tcPr>
            <w:tcW w:w="710" w:type="pct"/>
            <w:tcBorders>
              <w:tl2br w:val="nil"/>
              <w:tr2bl w:val="nil"/>
            </w:tcBorders>
            <w:vAlign w:val="center"/>
          </w:tcPr>
          <w:p w14:paraId="14582E1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0.55</w:t>
            </w:r>
          </w:p>
        </w:tc>
      </w:tr>
      <w:tr w14:paraId="30D2BC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5E74F089">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44</w:t>
            </w:r>
          </w:p>
        </w:tc>
        <w:tc>
          <w:tcPr>
            <w:tcW w:w="740" w:type="pct"/>
            <w:tcBorders>
              <w:tl2br w:val="nil"/>
              <w:tr2bl w:val="nil"/>
            </w:tcBorders>
            <w:vAlign w:val="center"/>
          </w:tcPr>
          <w:p w14:paraId="473C9834">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茚并[1</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2</w:t>
            </w: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3-cd]芘</w:t>
            </w:r>
          </w:p>
        </w:tc>
        <w:tc>
          <w:tcPr>
            <w:tcW w:w="2168" w:type="pct"/>
            <w:tcBorders>
              <w:tl2br w:val="nil"/>
              <w:tr2bl w:val="nil"/>
            </w:tcBorders>
            <w:vAlign w:val="center"/>
          </w:tcPr>
          <w:p w14:paraId="7AA7D3F6">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半挥发性有机物的测定 气相色谱-质谱法HJ 834-2017</w:t>
            </w:r>
          </w:p>
        </w:tc>
        <w:tc>
          <w:tcPr>
            <w:tcW w:w="481" w:type="pct"/>
            <w:tcBorders>
              <w:tl2br w:val="nil"/>
              <w:tr2bl w:val="nil"/>
            </w:tcBorders>
            <w:vAlign w:val="center"/>
          </w:tcPr>
          <w:p w14:paraId="137B72B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01ED8592">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0.1</w:t>
            </w:r>
          </w:p>
        </w:tc>
        <w:tc>
          <w:tcPr>
            <w:tcW w:w="710" w:type="pct"/>
            <w:tcBorders>
              <w:tl2br w:val="nil"/>
              <w:tr2bl w:val="nil"/>
            </w:tcBorders>
            <w:vAlign w:val="center"/>
          </w:tcPr>
          <w:p w14:paraId="1029DB67">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5.5</w:t>
            </w:r>
          </w:p>
        </w:tc>
      </w:tr>
      <w:tr w14:paraId="79D4B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1F867548">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45</w:t>
            </w:r>
          </w:p>
        </w:tc>
        <w:tc>
          <w:tcPr>
            <w:tcW w:w="740" w:type="pct"/>
            <w:tcBorders>
              <w:tl2br w:val="nil"/>
              <w:tr2bl w:val="nil"/>
            </w:tcBorders>
            <w:vAlign w:val="center"/>
          </w:tcPr>
          <w:p w14:paraId="044E041B">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萘</w:t>
            </w:r>
          </w:p>
        </w:tc>
        <w:tc>
          <w:tcPr>
            <w:tcW w:w="2168" w:type="pct"/>
            <w:tcBorders>
              <w:tl2br w:val="nil"/>
              <w:tr2bl w:val="nil"/>
            </w:tcBorders>
            <w:vAlign w:val="center"/>
          </w:tcPr>
          <w:p w14:paraId="40003515">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半挥发性有机物的测定 气相色谱-质谱法HJ 834-2017</w:t>
            </w:r>
          </w:p>
        </w:tc>
        <w:tc>
          <w:tcPr>
            <w:tcW w:w="481" w:type="pct"/>
            <w:tcBorders>
              <w:tl2br w:val="nil"/>
              <w:tr2bl w:val="nil"/>
            </w:tcBorders>
            <w:vAlign w:val="center"/>
          </w:tcPr>
          <w:p w14:paraId="63014616">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42EAA391">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rPr>
              <w:t>0.0</w:t>
            </w:r>
            <w:r>
              <w:rPr>
                <w:rFonts w:hint="default" w:ascii="Times New Roman" w:hAnsi="Times New Roman" w:eastAsia="仿宋" w:cs="Times New Roman"/>
                <w:color w:val="auto"/>
                <w:lang w:eastAsia="zh-CN"/>
              </w:rPr>
              <w:t>9</w:t>
            </w:r>
          </w:p>
        </w:tc>
        <w:tc>
          <w:tcPr>
            <w:tcW w:w="710" w:type="pct"/>
            <w:tcBorders>
              <w:tl2br w:val="nil"/>
              <w:tr2bl w:val="nil"/>
            </w:tcBorders>
            <w:vAlign w:val="center"/>
          </w:tcPr>
          <w:p w14:paraId="3E91C8E5">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25</w:t>
            </w:r>
          </w:p>
        </w:tc>
      </w:tr>
      <w:tr w14:paraId="4E5D6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71695157">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46</w:t>
            </w:r>
          </w:p>
        </w:tc>
        <w:tc>
          <w:tcPr>
            <w:tcW w:w="740" w:type="pct"/>
            <w:tcBorders>
              <w:tl2br w:val="nil"/>
              <w:tr2bl w:val="nil"/>
            </w:tcBorders>
            <w:vAlign w:val="center"/>
          </w:tcPr>
          <w:p w14:paraId="70625E3B">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pH</w:t>
            </w:r>
          </w:p>
        </w:tc>
        <w:tc>
          <w:tcPr>
            <w:tcW w:w="2168" w:type="pct"/>
            <w:tcBorders>
              <w:tl2br w:val="nil"/>
              <w:tr2bl w:val="nil"/>
            </w:tcBorders>
            <w:vAlign w:val="center"/>
          </w:tcPr>
          <w:p w14:paraId="08C5DF5E">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 pH值的测定 电位法 HJ962-2018</w:t>
            </w:r>
          </w:p>
        </w:tc>
        <w:tc>
          <w:tcPr>
            <w:tcW w:w="481" w:type="pct"/>
            <w:tcBorders>
              <w:tl2br w:val="nil"/>
              <w:tr2bl w:val="nil"/>
            </w:tcBorders>
            <w:vAlign w:val="center"/>
          </w:tcPr>
          <w:p w14:paraId="2A16DC36">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无量纲</w:t>
            </w:r>
          </w:p>
        </w:tc>
        <w:tc>
          <w:tcPr>
            <w:tcW w:w="502" w:type="pct"/>
            <w:tcBorders>
              <w:tl2br w:val="nil"/>
              <w:tr2bl w:val="nil"/>
            </w:tcBorders>
            <w:vAlign w:val="center"/>
          </w:tcPr>
          <w:p w14:paraId="4A0ACCE6">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w:t>
            </w:r>
          </w:p>
        </w:tc>
        <w:tc>
          <w:tcPr>
            <w:tcW w:w="710" w:type="pct"/>
            <w:tcBorders>
              <w:tl2br w:val="nil"/>
              <w:tr2bl w:val="nil"/>
            </w:tcBorders>
            <w:vAlign w:val="center"/>
          </w:tcPr>
          <w:p w14:paraId="1B635FC2">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w:t>
            </w:r>
          </w:p>
        </w:tc>
      </w:tr>
      <w:tr w14:paraId="653ED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6FF4BA12">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47</w:t>
            </w:r>
          </w:p>
        </w:tc>
        <w:tc>
          <w:tcPr>
            <w:tcW w:w="740" w:type="pct"/>
            <w:tcBorders>
              <w:tl2br w:val="nil"/>
              <w:tr2bl w:val="nil"/>
            </w:tcBorders>
            <w:vAlign w:val="center"/>
          </w:tcPr>
          <w:p w14:paraId="1A9341AC">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总铬</w:t>
            </w:r>
          </w:p>
        </w:tc>
        <w:tc>
          <w:tcPr>
            <w:tcW w:w="2168" w:type="pct"/>
            <w:tcBorders>
              <w:tl2br w:val="nil"/>
              <w:tr2bl w:val="nil"/>
            </w:tcBorders>
            <w:vAlign w:val="center"/>
          </w:tcPr>
          <w:p w14:paraId="1E4B2426">
            <w:pPr>
              <w:jc w:val="center"/>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铜、锌、铅、镍、铬的测定 火焰原子吸收分光光度法 </w:t>
            </w:r>
          </w:p>
          <w:p w14:paraId="43B69647">
            <w:pPr>
              <w:jc w:val="center"/>
              <w:rPr>
                <w:rFonts w:hint="default" w:ascii="Times New Roman" w:hAnsi="Times New Roman" w:eastAsia="仿宋" w:cs="Times New Roman"/>
                <w:color w:val="auto"/>
              </w:rPr>
            </w:pPr>
            <w:r>
              <w:rPr>
                <w:rFonts w:hint="default" w:ascii="Times New Roman" w:hAnsi="Times New Roman" w:eastAsia="仿宋" w:cs="Times New Roman"/>
                <w:color w:val="auto"/>
              </w:rPr>
              <w:t>HJ 491-2019</w:t>
            </w:r>
          </w:p>
        </w:tc>
        <w:tc>
          <w:tcPr>
            <w:tcW w:w="481" w:type="pct"/>
            <w:tcBorders>
              <w:tl2br w:val="nil"/>
              <w:tr2bl w:val="nil"/>
            </w:tcBorders>
            <w:vAlign w:val="center"/>
          </w:tcPr>
          <w:p w14:paraId="4EAFFEC7">
            <w:pPr>
              <w:jc w:val="center"/>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mg/kg</w:t>
            </w:r>
          </w:p>
        </w:tc>
        <w:tc>
          <w:tcPr>
            <w:tcW w:w="502" w:type="pct"/>
            <w:tcBorders>
              <w:tl2br w:val="nil"/>
              <w:tr2bl w:val="nil"/>
            </w:tcBorders>
            <w:vAlign w:val="center"/>
          </w:tcPr>
          <w:p w14:paraId="50CE0217">
            <w:pPr>
              <w:jc w:val="center"/>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4</w:t>
            </w:r>
          </w:p>
        </w:tc>
        <w:tc>
          <w:tcPr>
            <w:tcW w:w="710" w:type="pct"/>
            <w:tcBorders>
              <w:tl2br w:val="nil"/>
              <w:tr2bl w:val="nil"/>
            </w:tcBorders>
            <w:vAlign w:val="center"/>
          </w:tcPr>
          <w:p w14:paraId="0A33187B">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w:t>
            </w:r>
          </w:p>
        </w:tc>
      </w:tr>
      <w:tr w14:paraId="79BFE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37E24174">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48</w:t>
            </w:r>
          </w:p>
        </w:tc>
        <w:tc>
          <w:tcPr>
            <w:tcW w:w="740" w:type="pct"/>
            <w:tcBorders>
              <w:tl2br w:val="nil"/>
              <w:tr2bl w:val="nil"/>
            </w:tcBorders>
            <w:vAlign w:val="center"/>
          </w:tcPr>
          <w:p w14:paraId="7DF5DC0C">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锰</w:t>
            </w:r>
          </w:p>
        </w:tc>
        <w:tc>
          <w:tcPr>
            <w:tcW w:w="2168" w:type="pct"/>
            <w:tcBorders>
              <w:tl2br w:val="nil"/>
              <w:tr2bl w:val="nil"/>
            </w:tcBorders>
            <w:vAlign w:val="center"/>
          </w:tcPr>
          <w:p w14:paraId="5C07C18D">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12种金属元素的测定 </w:t>
            </w:r>
          </w:p>
          <w:p w14:paraId="30992E8B">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王水提取-电感耦合等离子体质谱法</w:t>
            </w:r>
          </w:p>
          <w:p w14:paraId="7F9B48AF">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 xml:space="preserve"> HJ 803-2016</w:t>
            </w:r>
          </w:p>
        </w:tc>
        <w:tc>
          <w:tcPr>
            <w:tcW w:w="481" w:type="pct"/>
            <w:tcBorders>
              <w:tl2br w:val="nil"/>
              <w:tr2bl w:val="nil"/>
            </w:tcBorders>
            <w:vAlign w:val="center"/>
          </w:tcPr>
          <w:p w14:paraId="034058A4">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mg/kg</w:t>
            </w:r>
          </w:p>
        </w:tc>
        <w:tc>
          <w:tcPr>
            <w:tcW w:w="502" w:type="pct"/>
            <w:tcBorders>
              <w:tl2br w:val="nil"/>
              <w:tr2bl w:val="nil"/>
            </w:tcBorders>
            <w:vAlign w:val="center"/>
          </w:tcPr>
          <w:p w14:paraId="569530D1">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eastAsia="zh-CN"/>
              </w:rPr>
              <w:t>2.8</w:t>
            </w:r>
          </w:p>
        </w:tc>
        <w:tc>
          <w:tcPr>
            <w:tcW w:w="710" w:type="pct"/>
            <w:tcBorders>
              <w:tl2br w:val="nil"/>
              <w:tr2bl w:val="nil"/>
            </w:tcBorders>
            <w:vAlign w:val="center"/>
          </w:tcPr>
          <w:p w14:paraId="347EA655">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w:t>
            </w:r>
          </w:p>
        </w:tc>
      </w:tr>
      <w:tr w14:paraId="1764B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51B358A5">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49</w:t>
            </w:r>
          </w:p>
        </w:tc>
        <w:tc>
          <w:tcPr>
            <w:tcW w:w="740" w:type="pct"/>
            <w:tcBorders>
              <w:tl2br w:val="nil"/>
              <w:tr2bl w:val="nil"/>
            </w:tcBorders>
            <w:vAlign w:val="center"/>
          </w:tcPr>
          <w:p w14:paraId="685C8F86">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锌</w:t>
            </w:r>
          </w:p>
        </w:tc>
        <w:tc>
          <w:tcPr>
            <w:tcW w:w="2168" w:type="pct"/>
            <w:tcBorders>
              <w:tl2br w:val="nil"/>
              <w:tr2bl w:val="nil"/>
            </w:tcBorders>
            <w:vAlign w:val="center"/>
          </w:tcPr>
          <w:p w14:paraId="41FB02DD">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铜、锌、铅、镍、铬的测定 火焰原子吸收分光光度法</w:t>
            </w:r>
          </w:p>
          <w:p w14:paraId="55A9A370">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HJ 491-2019</w:t>
            </w:r>
          </w:p>
        </w:tc>
        <w:tc>
          <w:tcPr>
            <w:tcW w:w="481" w:type="pct"/>
            <w:tcBorders>
              <w:tl2br w:val="nil"/>
              <w:tr2bl w:val="nil"/>
            </w:tcBorders>
            <w:vAlign w:val="center"/>
          </w:tcPr>
          <w:p w14:paraId="67EFE0A5">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rPr>
              <w:t>mg/kg</w:t>
            </w:r>
          </w:p>
        </w:tc>
        <w:tc>
          <w:tcPr>
            <w:tcW w:w="502" w:type="pct"/>
            <w:tcBorders>
              <w:tl2br w:val="nil"/>
              <w:tr2bl w:val="nil"/>
            </w:tcBorders>
            <w:vAlign w:val="center"/>
          </w:tcPr>
          <w:p w14:paraId="7889F56D">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1</w:t>
            </w:r>
          </w:p>
        </w:tc>
        <w:tc>
          <w:tcPr>
            <w:tcW w:w="710" w:type="pct"/>
            <w:tcBorders>
              <w:tl2br w:val="nil"/>
              <w:tr2bl w:val="nil"/>
            </w:tcBorders>
            <w:vAlign w:val="center"/>
          </w:tcPr>
          <w:p w14:paraId="5F994E7B">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w:t>
            </w:r>
          </w:p>
        </w:tc>
      </w:tr>
      <w:tr w14:paraId="58151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0DBA22F8">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50</w:t>
            </w:r>
          </w:p>
        </w:tc>
        <w:tc>
          <w:tcPr>
            <w:tcW w:w="740" w:type="pct"/>
            <w:tcBorders>
              <w:tl2br w:val="nil"/>
              <w:tr2bl w:val="nil"/>
            </w:tcBorders>
            <w:shd w:val="clear" w:color="auto" w:fill="auto"/>
            <w:vAlign w:val="center"/>
          </w:tcPr>
          <w:p w14:paraId="38DC4F19">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石油烃</w:t>
            </w:r>
          </w:p>
          <w:p w14:paraId="76D34519">
            <w:pPr>
              <w:widowControl w:val="0"/>
              <w:kinsoku/>
              <w:jc w:val="both"/>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C</w:t>
            </w:r>
            <w:r>
              <w:rPr>
                <w:rFonts w:hint="default" w:ascii="Times New Roman" w:hAnsi="Times New Roman" w:eastAsia="仿宋" w:cs="Times New Roman"/>
                <w:color w:val="auto"/>
                <w:vertAlign w:val="subscript"/>
              </w:rPr>
              <w:t>10</w:t>
            </w:r>
            <w:r>
              <w:rPr>
                <w:rFonts w:hint="default" w:ascii="Times New Roman" w:hAnsi="Times New Roman" w:eastAsia="仿宋" w:cs="Times New Roman"/>
                <w:color w:val="auto"/>
              </w:rPr>
              <w:t>-C</w:t>
            </w:r>
            <w:r>
              <w:rPr>
                <w:rFonts w:hint="default" w:ascii="Times New Roman" w:hAnsi="Times New Roman" w:eastAsia="仿宋" w:cs="Times New Roman"/>
                <w:color w:val="auto"/>
                <w:vertAlign w:val="subscript"/>
              </w:rPr>
              <w:t>40</w:t>
            </w:r>
            <w:r>
              <w:rPr>
                <w:rFonts w:hint="default" w:ascii="Times New Roman" w:hAnsi="Times New Roman" w:eastAsia="仿宋" w:cs="Times New Roman"/>
                <w:color w:val="auto"/>
              </w:rPr>
              <w:t>）</w:t>
            </w:r>
          </w:p>
        </w:tc>
        <w:tc>
          <w:tcPr>
            <w:tcW w:w="2168" w:type="pct"/>
            <w:tcBorders>
              <w:tl2br w:val="nil"/>
              <w:tr2bl w:val="nil"/>
            </w:tcBorders>
            <w:shd w:val="clear" w:color="auto" w:fill="auto"/>
            <w:vAlign w:val="center"/>
          </w:tcPr>
          <w:p w14:paraId="220EDA2D">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土壤和沉积物 石油烃（C</w:t>
            </w:r>
            <w:r>
              <w:rPr>
                <w:rFonts w:hint="default" w:ascii="Times New Roman" w:hAnsi="Times New Roman" w:eastAsia="仿宋" w:cs="Times New Roman"/>
                <w:color w:val="auto"/>
                <w:vertAlign w:val="subscript"/>
                <w:lang w:eastAsia="zh-CN"/>
              </w:rPr>
              <w:t>10</w:t>
            </w:r>
            <w:r>
              <w:rPr>
                <w:rFonts w:hint="default" w:ascii="Times New Roman" w:hAnsi="Times New Roman" w:eastAsia="仿宋" w:cs="Times New Roman"/>
                <w:color w:val="auto"/>
                <w:lang w:eastAsia="zh-CN"/>
              </w:rPr>
              <w:t>-C</w:t>
            </w:r>
            <w:r>
              <w:rPr>
                <w:rFonts w:hint="default" w:ascii="Times New Roman" w:hAnsi="Times New Roman" w:eastAsia="仿宋" w:cs="Times New Roman"/>
                <w:color w:val="auto"/>
                <w:vertAlign w:val="subscript"/>
                <w:lang w:eastAsia="zh-CN"/>
              </w:rPr>
              <w:t>40</w:t>
            </w:r>
            <w:r>
              <w:rPr>
                <w:rFonts w:hint="default" w:ascii="Times New Roman" w:hAnsi="Times New Roman" w:eastAsia="仿宋" w:cs="Times New Roman"/>
                <w:color w:val="auto"/>
                <w:lang w:eastAsia="zh-CN"/>
              </w:rPr>
              <w:t>）的测定 气相色谱法HJ 1021-2019</w:t>
            </w:r>
          </w:p>
        </w:tc>
        <w:tc>
          <w:tcPr>
            <w:tcW w:w="481" w:type="pct"/>
            <w:tcBorders>
              <w:tl2br w:val="nil"/>
              <w:tr2bl w:val="nil"/>
            </w:tcBorders>
            <w:shd w:val="clear" w:color="auto" w:fill="auto"/>
            <w:vAlign w:val="center"/>
          </w:tcPr>
          <w:p w14:paraId="2ED4C132">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rPr>
              <w:t>mg/kg</w:t>
            </w:r>
          </w:p>
        </w:tc>
        <w:tc>
          <w:tcPr>
            <w:tcW w:w="502" w:type="pct"/>
            <w:tcBorders>
              <w:tl2br w:val="nil"/>
              <w:tr2bl w:val="nil"/>
            </w:tcBorders>
            <w:shd w:val="clear" w:color="auto" w:fill="auto"/>
            <w:vAlign w:val="center"/>
          </w:tcPr>
          <w:p w14:paraId="330474A1">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rPr>
              <w:t>6.00</w:t>
            </w:r>
          </w:p>
        </w:tc>
        <w:tc>
          <w:tcPr>
            <w:tcW w:w="710" w:type="pct"/>
            <w:tcBorders>
              <w:tl2br w:val="nil"/>
              <w:tr2bl w:val="nil"/>
            </w:tcBorders>
            <w:shd w:val="clear" w:color="auto" w:fill="auto"/>
            <w:vAlign w:val="center"/>
          </w:tcPr>
          <w:p w14:paraId="4CFB19AE">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rPr>
              <w:t>826</w:t>
            </w:r>
          </w:p>
        </w:tc>
      </w:tr>
      <w:tr w14:paraId="5E64E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3C01BB9B">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51</w:t>
            </w:r>
          </w:p>
        </w:tc>
        <w:tc>
          <w:tcPr>
            <w:tcW w:w="740" w:type="pct"/>
            <w:tcBorders>
              <w:tl2br w:val="nil"/>
              <w:tr2bl w:val="nil"/>
            </w:tcBorders>
            <w:vAlign w:val="center"/>
          </w:tcPr>
          <w:p w14:paraId="298706AC">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苯酚</w:t>
            </w:r>
          </w:p>
        </w:tc>
        <w:tc>
          <w:tcPr>
            <w:tcW w:w="2168" w:type="pct"/>
            <w:tcBorders>
              <w:tl2br w:val="nil"/>
              <w:tr2bl w:val="nil"/>
            </w:tcBorders>
            <w:vAlign w:val="center"/>
          </w:tcPr>
          <w:p w14:paraId="3C17B466">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 xml:space="preserve">土壤和沉积物 半挥发性有机物的测定 </w:t>
            </w:r>
          </w:p>
          <w:p w14:paraId="74708491">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rPr>
              <w:t>气相色谱-质谱法HJ 834-2017</w:t>
            </w:r>
          </w:p>
        </w:tc>
        <w:tc>
          <w:tcPr>
            <w:tcW w:w="481" w:type="pct"/>
            <w:tcBorders>
              <w:tl2br w:val="nil"/>
              <w:tr2bl w:val="nil"/>
            </w:tcBorders>
            <w:vAlign w:val="center"/>
          </w:tcPr>
          <w:p w14:paraId="1B9AB4E0">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rPr>
              <w:t>mg/kg</w:t>
            </w:r>
          </w:p>
        </w:tc>
        <w:tc>
          <w:tcPr>
            <w:tcW w:w="502" w:type="pct"/>
            <w:tcBorders>
              <w:tl2br w:val="nil"/>
              <w:tr2bl w:val="nil"/>
            </w:tcBorders>
            <w:vAlign w:val="center"/>
          </w:tcPr>
          <w:p w14:paraId="1919B524">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0.1</w:t>
            </w:r>
          </w:p>
        </w:tc>
        <w:tc>
          <w:tcPr>
            <w:tcW w:w="710" w:type="pct"/>
            <w:tcBorders>
              <w:tl2br w:val="nil"/>
              <w:tr2bl w:val="nil"/>
            </w:tcBorders>
            <w:vAlign w:val="center"/>
          </w:tcPr>
          <w:p w14:paraId="0A46EFA9">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w:t>
            </w:r>
          </w:p>
        </w:tc>
      </w:tr>
      <w:tr w14:paraId="01DA9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6029391C">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52</w:t>
            </w:r>
          </w:p>
        </w:tc>
        <w:tc>
          <w:tcPr>
            <w:tcW w:w="740" w:type="pct"/>
            <w:tcBorders>
              <w:tl2br w:val="nil"/>
              <w:tr2bl w:val="nil"/>
            </w:tcBorders>
            <w:vAlign w:val="center"/>
          </w:tcPr>
          <w:p w14:paraId="2880D731">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总氟化物</w:t>
            </w:r>
          </w:p>
        </w:tc>
        <w:tc>
          <w:tcPr>
            <w:tcW w:w="2168" w:type="pct"/>
            <w:tcBorders>
              <w:tl2br w:val="nil"/>
              <w:tr2bl w:val="nil"/>
            </w:tcBorders>
            <w:vAlign w:val="center"/>
          </w:tcPr>
          <w:p w14:paraId="71CC3B7A">
            <w:pPr>
              <w:pStyle w:val="25"/>
              <w:widowControl w:val="0"/>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土壤水溶性氟化物和总氟化物的测定离子选择电极法HJ873-2017</w:t>
            </w:r>
          </w:p>
        </w:tc>
        <w:tc>
          <w:tcPr>
            <w:tcW w:w="481" w:type="pct"/>
            <w:tcBorders>
              <w:tl2br w:val="nil"/>
              <w:tr2bl w:val="nil"/>
            </w:tcBorders>
            <w:vAlign w:val="center"/>
          </w:tcPr>
          <w:p w14:paraId="4312BEDE">
            <w:pPr>
              <w:pStyle w:val="25"/>
              <w:widowControl w:val="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413114C1">
            <w:pPr>
              <w:pStyle w:val="25"/>
              <w:widowControl w:val="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63</w:t>
            </w:r>
          </w:p>
        </w:tc>
        <w:tc>
          <w:tcPr>
            <w:tcW w:w="710" w:type="pct"/>
            <w:tcBorders>
              <w:tl2br w:val="nil"/>
              <w:tr2bl w:val="nil"/>
            </w:tcBorders>
            <w:vAlign w:val="center"/>
          </w:tcPr>
          <w:p w14:paraId="12F5FC3E">
            <w:pPr>
              <w:pStyle w:val="25"/>
              <w:widowControl w:val="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2870</w:t>
            </w:r>
          </w:p>
        </w:tc>
      </w:tr>
      <w:tr w14:paraId="5A07B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3B11CF76">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53</w:t>
            </w:r>
          </w:p>
        </w:tc>
        <w:tc>
          <w:tcPr>
            <w:tcW w:w="740" w:type="pct"/>
            <w:tcBorders>
              <w:tl2br w:val="nil"/>
              <w:tr2bl w:val="nil"/>
            </w:tcBorders>
            <w:vAlign w:val="center"/>
          </w:tcPr>
          <w:p w14:paraId="3550B843">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氰化物</w:t>
            </w:r>
          </w:p>
        </w:tc>
        <w:tc>
          <w:tcPr>
            <w:tcW w:w="2168" w:type="pct"/>
            <w:tcBorders>
              <w:tl2br w:val="nil"/>
              <w:tr2bl w:val="nil"/>
            </w:tcBorders>
            <w:vAlign w:val="center"/>
          </w:tcPr>
          <w:p w14:paraId="74B9BD60">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 氰化物和总氰化物的测定 分光光度法HJ 745-2015</w:t>
            </w:r>
          </w:p>
        </w:tc>
        <w:tc>
          <w:tcPr>
            <w:tcW w:w="481" w:type="pct"/>
            <w:tcBorders>
              <w:tl2br w:val="nil"/>
              <w:tr2bl w:val="nil"/>
            </w:tcBorders>
            <w:vAlign w:val="center"/>
          </w:tcPr>
          <w:p w14:paraId="14A30051">
            <w:pPr>
              <w:pStyle w:val="25"/>
              <w:widowControl w:val="0"/>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rPr>
              <w:t>mg/kg</w:t>
            </w:r>
          </w:p>
        </w:tc>
        <w:tc>
          <w:tcPr>
            <w:tcW w:w="502" w:type="pct"/>
            <w:tcBorders>
              <w:tl2br w:val="nil"/>
              <w:tr2bl w:val="nil"/>
            </w:tcBorders>
            <w:vAlign w:val="center"/>
          </w:tcPr>
          <w:p w14:paraId="4C4FE164">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0.04</w:t>
            </w:r>
          </w:p>
        </w:tc>
        <w:tc>
          <w:tcPr>
            <w:tcW w:w="710" w:type="pct"/>
            <w:tcBorders>
              <w:tl2br w:val="nil"/>
              <w:tr2bl w:val="nil"/>
            </w:tcBorders>
            <w:vAlign w:val="center"/>
          </w:tcPr>
          <w:p w14:paraId="2F869B7C">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22</w:t>
            </w:r>
          </w:p>
        </w:tc>
      </w:tr>
      <w:tr w14:paraId="3041E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75C1C27F">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54</w:t>
            </w:r>
          </w:p>
        </w:tc>
        <w:tc>
          <w:tcPr>
            <w:tcW w:w="740" w:type="pct"/>
            <w:tcBorders>
              <w:tl2br w:val="nil"/>
              <w:tr2bl w:val="nil"/>
            </w:tcBorders>
            <w:vAlign w:val="center"/>
          </w:tcPr>
          <w:p w14:paraId="254F79F3">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锡</w:t>
            </w:r>
          </w:p>
        </w:tc>
        <w:tc>
          <w:tcPr>
            <w:tcW w:w="2168" w:type="pct"/>
            <w:tcBorders>
              <w:tl2br w:val="nil"/>
              <w:tr2bl w:val="nil"/>
            </w:tcBorders>
            <w:vAlign w:val="center"/>
          </w:tcPr>
          <w:p w14:paraId="750623D5">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 微波消解等离子体发射光谱法测重金属 土壤重金属的测定 微波消解/等离子体发射光谱法 TCE 03-SOP-005</w:t>
            </w:r>
          </w:p>
        </w:tc>
        <w:tc>
          <w:tcPr>
            <w:tcW w:w="481" w:type="pct"/>
            <w:tcBorders>
              <w:tl2br w:val="nil"/>
              <w:tr2bl w:val="nil"/>
            </w:tcBorders>
            <w:vAlign w:val="center"/>
          </w:tcPr>
          <w:p w14:paraId="0799AA4D">
            <w:pPr>
              <w:widowControl w:val="0"/>
              <w:kinsoku/>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mg/kg</w:t>
            </w:r>
          </w:p>
        </w:tc>
        <w:tc>
          <w:tcPr>
            <w:tcW w:w="502" w:type="pct"/>
            <w:tcBorders>
              <w:tl2br w:val="nil"/>
              <w:tr2bl w:val="nil"/>
            </w:tcBorders>
            <w:vAlign w:val="center"/>
          </w:tcPr>
          <w:p w14:paraId="2D2712A2">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3</w:t>
            </w:r>
          </w:p>
        </w:tc>
        <w:tc>
          <w:tcPr>
            <w:tcW w:w="710" w:type="pct"/>
            <w:tcBorders>
              <w:tl2br w:val="nil"/>
              <w:tr2bl w:val="nil"/>
            </w:tcBorders>
            <w:vAlign w:val="center"/>
          </w:tcPr>
          <w:p w14:paraId="4F028F57">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w:t>
            </w:r>
          </w:p>
        </w:tc>
      </w:tr>
      <w:tr w14:paraId="6F73A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pct"/>
            <w:tcBorders>
              <w:tl2br w:val="nil"/>
              <w:tr2bl w:val="nil"/>
            </w:tcBorders>
            <w:vAlign w:val="center"/>
          </w:tcPr>
          <w:p w14:paraId="6B9B44C1">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55</w:t>
            </w:r>
          </w:p>
        </w:tc>
        <w:tc>
          <w:tcPr>
            <w:tcW w:w="740" w:type="pct"/>
            <w:tcBorders>
              <w:tl2br w:val="nil"/>
              <w:tr2bl w:val="nil"/>
            </w:tcBorders>
            <w:vAlign w:val="center"/>
          </w:tcPr>
          <w:p w14:paraId="3EA97F0C">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银</w:t>
            </w:r>
          </w:p>
        </w:tc>
        <w:tc>
          <w:tcPr>
            <w:tcW w:w="2168" w:type="pct"/>
            <w:tcBorders>
              <w:tl2br w:val="nil"/>
              <w:tr2bl w:val="nil"/>
            </w:tcBorders>
            <w:vAlign w:val="center"/>
          </w:tcPr>
          <w:p w14:paraId="077BCE99">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 微波消解等离子体发射光谱法测重金属 土壤重金属的测定 微波消解/等离子体发射光谱法 TCE 03-SOP.005</w:t>
            </w:r>
          </w:p>
        </w:tc>
        <w:tc>
          <w:tcPr>
            <w:tcW w:w="481" w:type="pct"/>
            <w:tcBorders>
              <w:tl2br w:val="nil"/>
              <w:tr2bl w:val="nil"/>
            </w:tcBorders>
            <w:vAlign w:val="center"/>
          </w:tcPr>
          <w:p w14:paraId="33B171E4">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rPr>
              <w:t>mg/kg</w:t>
            </w:r>
          </w:p>
        </w:tc>
        <w:tc>
          <w:tcPr>
            <w:tcW w:w="502" w:type="pct"/>
            <w:tcBorders>
              <w:tl2br w:val="nil"/>
              <w:tr2bl w:val="nil"/>
            </w:tcBorders>
            <w:vAlign w:val="center"/>
          </w:tcPr>
          <w:p w14:paraId="396AF50C">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0.03</w:t>
            </w:r>
          </w:p>
        </w:tc>
        <w:tc>
          <w:tcPr>
            <w:tcW w:w="710" w:type="pct"/>
            <w:tcBorders>
              <w:tl2br w:val="nil"/>
              <w:tr2bl w:val="nil"/>
            </w:tcBorders>
            <w:vAlign w:val="center"/>
          </w:tcPr>
          <w:p w14:paraId="57479032">
            <w:pPr>
              <w:widowControl w:val="0"/>
              <w:kinsoku/>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w:t>
            </w:r>
          </w:p>
        </w:tc>
      </w:tr>
    </w:tbl>
    <w:p w14:paraId="43237E7C">
      <w:pPr>
        <w:kinsoku/>
        <w:overflowPunct w:val="0"/>
        <w:topLinePunct/>
        <w:autoSpaceDE/>
        <w:autoSpaceDN/>
        <w:spacing w:line="148" w:lineRule="exact"/>
        <w:rPr>
          <w:rFonts w:hint="default" w:ascii="Times New Roman" w:hAnsi="Times New Roman" w:eastAsia="仿宋" w:cs="Times New Roman"/>
          <w:color w:val="0000FF"/>
          <w:sz w:val="28"/>
          <w:szCs w:val="28"/>
        </w:rPr>
      </w:pPr>
    </w:p>
    <w:p w14:paraId="48DB2862">
      <w:pPr>
        <w:kinsoku/>
        <w:overflowPunct w:val="0"/>
        <w:topLinePunct/>
        <w:autoSpaceDE/>
        <w:autoSpaceDN/>
        <w:adjustRightInd/>
        <w:snapToGrid/>
        <w:spacing w:before="120" w:after="120" w:line="360" w:lineRule="auto"/>
        <w:jc w:val="both"/>
        <w:textAlignment w:val="auto"/>
        <w:outlineLvl w:val="1"/>
        <w:rPr>
          <w:rFonts w:hint="default" w:ascii="Times New Roman" w:hAnsi="Times New Roman" w:eastAsia="仿宋" w:cs="Times New Roman"/>
          <w:b/>
          <w:bCs/>
          <w:snapToGrid/>
          <w:kern w:val="2"/>
          <w:sz w:val="30"/>
          <w:szCs w:val="30"/>
          <w:lang w:eastAsia="zh-CN"/>
        </w:rPr>
      </w:pPr>
      <w:bookmarkStart w:id="69" w:name="bookmark99"/>
      <w:bookmarkEnd w:id="69"/>
      <w:bookmarkStart w:id="70" w:name="_Toc31387"/>
      <w:bookmarkStart w:id="71" w:name="_Toc18699"/>
      <w:r>
        <w:rPr>
          <w:rFonts w:hint="default" w:ascii="Times New Roman" w:hAnsi="Times New Roman" w:eastAsia="仿宋" w:cs="Times New Roman"/>
          <w:b/>
          <w:bCs/>
          <w:snapToGrid/>
          <w:kern w:val="2"/>
          <w:sz w:val="30"/>
          <w:szCs w:val="30"/>
          <w:lang w:eastAsia="zh-CN"/>
        </w:rPr>
        <w:t>4.4 质量保证和质量控制</w:t>
      </w:r>
      <w:bookmarkEnd w:id="70"/>
      <w:bookmarkEnd w:id="71"/>
    </w:p>
    <w:p w14:paraId="1AA90BE6">
      <w:pPr>
        <w:kinsoku/>
        <w:overflowPunct w:val="0"/>
        <w:topLinePunct/>
        <w:autoSpaceDE/>
        <w:autoSpaceDN/>
        <w:spacing w:line="360" w:lineRule="auto"/>
        <w:ind w:left="40" w:right="28" w:firstLine="561"/>
        <w:jc w:val="both"/>
        <w:rPr>
          <w:rFonts w:hint="default" w:ascii="Times New Roman" w:hAnsi="Times New Roman" w:eastAsia="仿宋" w:cs="Times New Roman"/>
          <w:color w:val="auto"/>
          <w:spacing w:val="2"/>
          <w:sz w:val="28"/>
          <w:szCs w:val="28"/>
          <w:lang w:val="en-US" w:eastAsia="zh-CN"/>
        </w:rPr>
      </w:pPr>
      <w:r>
        <w:rPr>
          <w:rFonts w:hint="default" w:ascii="Times New Roman" w:hAnsi="Times New Roman" w:eastAsia="仿宋" w:cs="Times New Roman"/>
          <w:color w:val="auto"/>
          <w:spacing w:val="2"/>
          <w:sz w:val="28"/>
          <w:szCs w:val="28"/>
          <w:lang w:eastAsia="zh-CN"/>
        </w:rPr>
        <w:t>两批次样品实验室共进行了7组土壤样品室内平行样检测，合格率为100%，满足实验要求。详细质控结果见附件</w:t>
      </w:r>
      <w:r>
        <w:rPr>
          <w:rFonts w:hint="eastAsia" w:ascii="Times New Roman" w:hAnsi="Times New Roman" w:eastAsia="仿宋" w:cs="Times New Roman"/>
          <w:color w:val="auto"/>
          <w:spacing w:val="2"/>
          <w:sz w:val="28"/>
          <w:szCs w:val="28"/>
          <w:lang w:eastAsia="zh-CN"/>
        </w:rPr>
        <w:t>。</w:t>
      </w:r>
    </w:p>
    <w:p w14:paraId="2E33EBD1">
      <w:pPr>
        <w:kinsoku/>
        <w:overflowPunct w:val="0"/>
        <w:topLinePunct/>
        <w:autoSpaceDE/>
        <w:autoSpaceDN/>
        <w:adjustRightInd/>
        <w:snapToGrid/>
        <w:spacing w:before="120" w:after="120" w:line="360" w:lineRule="auto"/>
        <w:jc w:val="both"/>
        <w:textAlignment w:val="auto"/>
        <w:outlineLvl w:val="1"/>
        <w:rPr>
          <w:rFonts w:hint="default" w:ascii="Times New Roman" w:hAnsi="Times New Roman" w:eastAsia="仿宋" w:cs="Times New Roman"/>
          <w:b/>
          <w:bCs/>
          <w:snapToGrid/>
          <w:kern w:val="2"/>
          <w:sz w:val="30"/>
          <w:szCs w:val="30"/>
          <w:lang w:eastAsia="zh-CN"/>
        </w:rPr>
      </w:pPr>
      <w:bookmarkStart w:id="72" w:name="_Toc10762"/>
      <w:bookmarkStart w:id="73" w:name="_Toc30477"/>
      <w:r>
        <w:rPr>
          <w:rFonts w:hint="default" w:ascii="Times New Roman" w:hAnsi="Times New Roman" w:eastAsia="仿宋" w:cs="Times New Roman"/>
          <w:b/>
          <w:bCs/>
          <w:snapToGrid/>
          <w:kern w:val="2"/>
          <w:sz w:val="30"/>
          <w:szCs w:val="30"/>
          <w:lang w:eastAsia="zh-CN"/>
        </w:rPr>
        <w:t>4.5 数据分析与评价</w:t>
      </w:r>
      <w:bookmarkEnd w:id="72"/>
      <w:bookmarkEnd w:id="73"/>
    </w:p>
    <w:p w14:paraId="18EA787C">
      <w:pPr>
        <w:pStyle w:val="3"/>
        <w:widowControl w:val="0"/>
        <w:kinsoku/>
        <w:overflowPunct w:val="0"/>
        <w:topLinePunct/>
        <w:autoSpaceDE/>
        <w:autoSpaceDN/>
        <w:adjustRightInd/>
        <w:snapToGrid/>
        <w:spacing w:before="96" w:beforeLines="40" w:after="120" w:afterLines="50" w:line="360" w:lineRule="auto"/>
        <w:jc w:val="both"/>
        <w:textAlignment w:val="auto"/>
        <w:rPr>
          <w:rFonts w:hint="default" w:ascii="Times New Roman" w:hAnsi="Times New Roman" w:eastAsia="仿宋" w:cs="Times New Roman"/>
          <w:snapToGrid/>
          <w:kern w:val="2"/>
          <w:sz w:val="28"/>
          <w:lang w:eastAsia="zh-CN"/>
        </w:rPr>
      </w:pPr>
      <w:bookmarkStart w:id="74" w:name="bookmark44"/>
      <w:bookmarkEnd w:id="74"/>
      <w:bookmarkStart w:id="75" w:name="_Toc23992"/>
      <w:bookmarkStart w:id="76" w:name="_Toc27314"/>
      <w:bookmarkStart w:id="77" w:name="_Toc13146"/>
      <w:bookmarkStart w:id="78" w:name="_Toc22802"/>
      <w:bookmarkStart w:id="79" w:name="_Toc78"/>
      <w:r>
        <w:rPr>
          <w:rFonts w:hint="default" w:ascii="Times New Roman" w:hAnsi="Times New Roman" w:eastAsia="仿宋" w:cs="Times New Roman"/>
          <w:snapToGrid/>
          <w:kern w:val="2"/>
          <w:sz w:val="28"/>
          <w:lang w:eastAsia="zh-CN"/>
        </w:rPr>
        <w:t>4.5.1土壤评价标准</w:t>
      </w:r>
      <w:bookmarkEnd w:id="75"/>
      <w:bookmarkEnd w:id="76"/>
      <w:bookmarkEnd w:id="77"/>
      <w:bookmarkEnd w:id="78"/>
    </w:p>
    <w:p w14:paraId="761CF26D">
      <w:pPr>
        <w:kinsoku/>
        <w:overflowPunct w:val="0"/>
        <w:topLinePunct/>
        <w:autoSpaceDE/>
        <w:autoSpaceDN/>
        <w:spacing w:line="360" w:lineRule="auto"/>
        <w:ind w:right="28" w:firstLine="544" w:firstLineChars="200"/>
        <w:jc w:val="both"/>
        <w:rPr>
          <w:rFonts w:hint="default" w:ascii="Times New Roman" w:hAnsi="Times New Roman" w:eastAsia="仿宋" w:cs="Times New Roman"/>
          <w:color w:val="auto"/>
          <w:spacing w:val="-4"/>
          <w:sz w:val="28"/>
          <w:szCs w:val="28"/>
          <w:lang w:eastAsia="zh-CN"/>
        </w:rPr>
      </w:pPr>
      <w:r>
        <w:rPr>
          <w:rFonts w:hint="default" w:ascii="Times New Roman" w:hAnsi="Times New Roman" w:eastAsia="仿宋" w:cs="Times New Roman"/>
          <w:color w:val="auto"/>
          <w:spacing w:val="-4"/>
          <w:sz w:val="28"/>
          <w:szCs w:val="28"/>
          <w:lang w:eastAsia="zh-CN"/>
        </w:rPr>
        <w:t>根据国家相关技术导则、规范以及地块未来规划用途，采用《土壤环境质量建设用地土壤污染风险管控标准（试行）》（GB 36600-2018）中的“第二类用地”的筛选标准以及其它相关标准作为判断依据。</w:t>
      </w:r>
    </w:p>
    <w:p w14:paraId="4F8D4771">
      <w:pPr>
        <w:pStyle w:val="26"/>
        <w:kinsoku/>
        <w:snapToGrid/>
        <w:spacing w:line="360" w:lineRule="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表4.5-1 建设用地第二类用地土壤污染风险筛选值</w:t>
      </w:r>
    </w:p>
    <w:p w14:paraId="79FAA006">
      <w:pPr>
        <w:kinsoku/>
        <w:snapToGrid/>
        <w:spacing w:line="360" w:lineRule="auto"/>
        <w:ind w:right="240" w:firstLine="480"/>
        <w:jc w:val="right"/>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单位：mg/kg</w:t>
      </w:r>
    </w:p>
    <w:tbl>
      <w:tblPr>
        <w:tblStyle w:val="20"/>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7"/>
        <w:gridCol w:w="1894"/>
        <w:gridCol w:w="1612"/>
        <w:gridCol w:w="1388"/>
        <w:gridCol w:w="2906"/>
      </w:tblGrid>
      <w:tr w14:paraId="160A5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blHeader/>
          <w:jc w:val="center"/>
        </w:trPr>
        <w:tc>
          <w:tcPr>
            <w:tcW w:w="408" w:type="pct"/>
            <w:gridSpan w:val="2"/>
            <w:shd w:val="clear" w:color="auto" w:fill="DBEEF3" w:themeFill="accent5" w:themeFillTint="32"/>
            <w:vAlign w:val="center"/>
          </w:tcPr>
          <w:p w14:paraId="1EDA0E8D">
            <w:pPr>
              <w:pStyle w:val="26"/>
              <w:kinsoku/>
              <w:snapToGrid/>
              <w:rPr>
                <w:rFonts w:hint="default" w:ascii="Times New Roman" w:hAnsi="Times New Roman" w:eastAsia="仿宋" w:cs="Times New Roman"/>
                <w:bCs/>
                <w:color w:val="auto"/>
                <w:sz w:val="21"/>
              </w:rPr>
            </w:pPr>
            <w:r>
              <w:rPr>
                <w:rFonts w:hint="default" w:ascii="Times New Roman" w:hAnsi="Times New Roman" w:eastAsia="仿宋" w:cs="Times New Roman"/>
                <w:color w:val="auto"/>
                <w:lang w:eastAsia="zh-CN"/>
              </w:rPr>
              <w:t xml:space="preserve"> </w:t>
            </w:r>
            <w:r>
              <w:rPr>
                <w:rFonts w:hint="default" w:ascii="Times New Roman" w:hAnsi="Times New Roman" w:eastAsia="仿宋" w:cs="Times New Roman"/>
                <w:bCs/>
                <w:color w:val="auto"/>
                <w:sz w:val="21"/>
              </w:rPr>
              <w:t>序号</w:t>
            </w:r>
          </w:p>
        </w:tc>
        <w:tc>
          <w:tcPr>
            <w:tcW w:w="1115" w:type="pct"/>
            <w:shd w:val="clear" w:color="auto" w:fill="DBEEF3" w:themeFill="accent5" w:themeFillTint="32"/>
            <w:vAlign w:val="center"/>
          </w:tcPr>
          <w:p w14:paraId="2E6D012E">
            <w:pPr>
              <w:widowControl w:val="0"/>
              <w:kinsoku/>
              <w:autoSpaceDE/>
              <w:autoSpaceDN/>
              <w:snapToGrid/>
              <w:jc w:val="center"/>
              <w:textAlignment w:val="auto"/>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污染物项目</w:t>
            </w:r>
          </w:p>
        </w:tc>
        <w:tc>
          <w:tcPr>
            <w:tcW w:w="949" w:type="pct"/>
            <w:shd w:val="clear" w:color="auto" w:fill="DBEEF3" w:themeFill="accent5" w:themeFillTint="32"/>
            <w:vAlign w:val="center"/>
          </w:tcPr>
          <w:p w14:paraId="26D2FFE7">
            <w:pPr>
              <w:widowControl w:val="0"/>
              <w:kinsoku/>
              <w:autoSpaceDE/>
              <w:autoSpaceDN/>
              <w:snapToGrid/>
              <w:jc w:val="center"/>
              <w:textAlignment w:val="auto"/>
              <w:rPr>
                <w:rFonts w:hint="default" w:ascii="Times New Roman" w:hAnsi="Times New Roman" w:eastAsia="仿宋" w:cs="Times New Roman"/>
                <w:b/>
                <w:bCs/>
                <w:color w:val="auto"/>
              </w:rPr>
            </w:pPr>
            <w:r>
              <w:rPr>
                <w:rFonts w:hint="default" w:ascii="Times New Roman" w:hAnsi="Times New Roman" w:eastAsia="仿宋" w:cs="Times New Roman"/>
                <w:b/>
                <w:bCs/>
                <w:color w:val="auto"/>
              </w:rPr>
              <w:t>CAS编号</w:t>
            </w:r>
          </w:p>
        </w:tc>
        <w:tc>
          <w:tcPr>
            <w:tcW w:w="817" w:type="pct"/>
            <w:shd w:val="clear" w:color="auto" w:fill="DBEEF3" w:themeFill="accent5" w:themeFillTint="32"/>
            <w:vAlign w:val="center"/>
          </w:tcPr>
          <w:p w14:paraId="07B0119F">
            <w:pPr>
              <w:widowControl w:val="0"/>
              <w:kinsoku/>
              <w:autoSpaceDE/>
              <w:autoSpaceDN/>
              <w:snapToGrid/>
              <w:jc w:val="center"/>
              <w:textAlignment w:val="auto"/>
              <w:rPr>
                <w:rFonts w:hint="default" w:ascii="Times New Roman" w:hAnsi="Times New Roman" w:eastAsia="仿宋" w:cs="Times New Roman"/>
                <w:b/>
                <w:bCs/>
                <w:color w:val="auto"/>
              </w:rPr>
            </w:pPr>
            <w:r>
              <w:rPr>
                <w:rFonts w:hint="default" w:ascii="Times New Roman" w:hAnsi="Times New Roman" w:eastAsia="仿宋" w:cs="Times New Roman"/>
                <w:b/>
                <w:bCs/>
                <w:color w:val="auto"/>
              </w:rPr>
              <w:t>筛选值</w:t>
            </w:r>
          </w:p>
        </w:tc>
        <w:tc>
          <w:tcPr>
            <w:tcW w:w="1710" w:type="pct"/>
            <w:shd w:val="clear" w:color="auto" w:fill="DBEEF3" w:themeFill="accent5" w:themeFillTint="32"/>
            <w:vAlign w:val="center"/>
          </w:tcPr>
          <w:p w14:paraId="08A0A5EE">
            <w:pPr>
              <w:widowControl w:val="0"/>
              <w:kinsoku/>
              <w:autoSpaceDE/>
              <w:autoSpaceDN/>
              <w:snapToGrid/>
              <w:jc w:val="center"/>
              <w:textAlignment w:val="auto"/>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标准来源</w:t>
            </w:r>
          </w:p>
        </w:tc>
      </w:tr>
      <w:tr w14:paraId="02779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shd w:val="clear" w:color="auto" w:fill="auto"/>
            <w:vAlign w:val="center"/>
          </w:tcPr>
          <w:p w14:paraId="250D18A7">
            <w:pPr>
              <w:widowControl w:val="0"/>
              <w:kinsoku/>
              <w:autoSpaceDE/>
              <w:autoSpaceDN/>
              <w:snapToGrid/>
              <w:jc w:val="center"/>
              <w:textAlignment w:val="auto"/>
              <w:rPr>
                <w:rFonts w:hint="default" w:ascii="Times New Roman" w:hAnsi="Times New Roman" w:eastAsia="仿宋" w:cs="Times New Roman"/>
                <w:b/>
                <w:color w:val="auto"/>
              </w:rPr>
            </w:pPr>
            <w:r>
              <w:rPr>
                <w:rFonts w:hint="default" w:ascii="Times New Roman" w:hAnsi="Times New Roman" w:eastAsia="仿宋" w:cs="Times New Roman"/>
                <w:b/>
                <w:color w:val="auto"/>
              </w:rPr>
              <w:t>重金属和无机物</w:t>
            </w:r>
          </w:p>
        </w:tc>
      </w:tr>
      <w:tr w14:paraId="46273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402B5005">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w:t>
            </w:r>
          </w:p>
        </w:tc>
        <w:tc>
          <w:tcPr>
            <w:tcW w:w="1115" w:type="pct"/>
            <w:shd w:val="clear" w:color="auto" w:fill="auto"/>
            <w:vAlign w:val="center"/>
          </w:tcPr>
          <w:p w14:paraId="58A9B259">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砷</w:t>
            </w:r>
          </w:p>
        </w:tc>
        <w:tc>
          <w:tcPr>
            <w:tcW w:w="949" w:type="pct"/>
            <w:shd w:val="clear" w:color="auto" w:fill="auto"/>
            <w:vAlign w:val="center"/>
          </w:tcPr>
          <w:p w14:paraId="012BEBB5">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7440-38-2</w:t>
            </w:r>
          </w:p>
        </w:tc>
        <w:tc>
          <w:tcPr>
            <w:tcW w:w="817" w:type="pct"/>
            <w:shd w:val="clear" w:color="auto" w:fill="auto"/>
            <w:vAlign w:val="center"/>
          </w:tcPr>
          <w:p w14:paraId="0CFE3D66">
            <w:pPr>
              <w:kinsoku/>
              <w:autoSpaceDE/>
              <w:autoSpaceDN/>
              <w:adjustRightInd/>
              <w:snapToGrid/>
              <w:jc w:val="center"/>
              <w:textAlignment w:val="center"/>
              <w:rPr>
                <w:rFonts w:hint="default" w:ascii="Times New Roman" w:hAnsi="Times New Roman" w:eastAsia="仿宋" w:cs="Times New Roman"/>
                <w:color w:val="auto"/>
                <w:vertAlign w:val="superscript"/>
              </w:rPr>
            </w:pPr>
            <w:r>
              <w:rPr>
                <w:rFonts w:hint="default" w:ascii="Times New Roman" w:hAnsi="Times New Roman" w:eastAsia="仿宋" w:cs="Times New Roman"/>
                <w:lang w:eastAsia="zh-CN"/>
              </w:rPr>
              <w:t>60</w:t>
            </w:r>
          </w:p>
        </w:tc>
        <w:tc>
          <w:tcPr>
            <w:tcW w:w="1710" w:type="pct"/>
            <w:vMerge w:val="restart"/>
            <w:shd w:val="clear" w:color="auto" w:fill="auto"/>
            <w:vAlign w:val="center"/>
          </w:tcPr>
          <w:p w14:paraId="10861FD7">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《土壤环境质量 建设用地土壤污染风险管控标准（试行）》(GB36600-2018)</w:t>
            </w:r>
          </w:p>
          <w:p w14:paraId="0480396A">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（第</w:t>
            </w:r>
            <w:r>
              <w:rPr>
                <w:rFonts w:hint="default" w:ascii="Times New Roman" w:hAnsi="Times New Roman" w:eastAsia="仿宋" w:cs="Times New Roman"/>
                <w:color w:val="auto"/>
                <w:lang w:eastAsia="zh-CN"/>
              </w:rPr>
              <w:t>二</w:t>
            </w:r>
            <w:r>
              <w:rPr>
                <w:rFonts w:hint="default" w:ascii="Times New Roman" w:hAnsi="Times New Roman" w:eastAsia="仿宋" w:cs="Times New Roman"/>
                <w:color w:val="auto"/>
              </w:rPr>
              <w:t>类用地）</w:t>
            </w:r>
          </w:p>
        </w:tc>
      </w:tr>
      <w:tr w14:paraId="095CA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69C6E610">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w:t>
            </w:r>
          </w:p>
        </w:tc>
        <w:tc>
          <w:tcPr>
            <w:tcW w:w="1115" w:type="pct"/>
            <w:shd w:val="clear" w:color="auto" w:fill="auto"/>
            <w:vAlign w:val="center"/>
          </w:tcPr>
          <w:p w14:paraId="0E74D1C7">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镉</w:t>
            </w:r>
          </w:p>
        </w:tc>
        <w:tc>
          <w:tcPr>
            <w:tcW w:w="949" w:type="pct"/>
            <w:shd w:val="clear" w:color="auto" w:fill="auto"/>
            <w:vAlign w:val="center"/>
          </w:tcPr>
          <w:p w14:paraId="32A06A3A">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7440-43-9</w:t>
            </w:r>
          </w:p>
        </w:tc>
        <w:tc>
          <w:tcPr>
            <w:tcW w:w="817" w:type="pct"/>
            <w:shd w:val="clear" w:color="auto" w:fill="auto"/>
            <w:vAlign w:val="center"/>
          </w:tcPr>
          <w:p w14:paraId="4F180FFB">
            <w:pPr>
              <w:kinsoku/>
              <w:autoSpaceDE/>
              <w:autoSpaceDN/>
              <w:adjustRightInd/>
              <w:snapToGrid/>
              <w:jc w:val="center"/>
              <w:textAlignment w:val="center"/>
              <w:rPr>
                <w:rFonts w:hint="default" w:ascii="Times New Roman" w:hAnsi="Times New Roman" w:eastAsia="仿宋" w:cs="Times New Roman"/>
                <w:color w:val="auto"/>
                <w:lang w:eastAsia="zh-CN"/>
              </w:rPr>
            </w:pPr>
            <w:r>
              <w:rPr>
                <w:rFonts w:hint="default" w:ascii="Times New Roman" w:hAnsi="Times New Roman" w:eastAsia="仿宋" w:cs="Times New Roman"/>
                <w:lang w:eastAsia="zh-CN"/>
              </w:rPr>
              <w:t>65</w:t>
            </w:r>
          </w:p>
        </w:tc>
        <w:tc>
          <w:tcPr>
            <w:tcW w:w="1710" w:type="pct"/>
            <w:vMerge w:val="continue"/>
            <w:shd w:val="clear" w:color="auto" w:fill="auto"/>
            <w:vAlign w:val="center"/>
          </w:tcPr>
          <w:p w14:paraId="6929F303">
            <w:pPr>
              <w:kinsoku/>
              <w:autoSpaceDE/>
              <w:autoSpaceDN/>
              <w:snapToGrid/>
              <w:jc w:val="center"/>
              <w:textAlignment w:val="auto"/>
              <w:rPr>
                <w:rFonts w:hint="default" w:ascii="Times New Roman" w:hAnsi="Times New Roman" w:eastAsia="仿宋" w:cs="Times New Roman"/>
                <w:color w:val="auto"/>
              </w:rPr>
            </w:pPr>
          </w:p>
        </w:tc>
      </w:tr>
      <w:tr w14:paraId="11F14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42FF5C77">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w:t>
            </w:r>
          </w:p>
        </w:tc>
        <w:tc>
          <w:tcPr>
            <w:tcW w:w="1115" w:type="pct"/>
            <w:shd w:val="clear" w:color="auto" w:fill="auto"/>
            <w:vAlign w:val="center"/>
          </w:tcPr>
          <w:p w14:paraId="598B160C">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铬（六价）</w:t>
            </w:r>
          </w:p>
        </w:tc>
        <w:tc>
          <w:tcPr>
            <w:tcW w:w="949" w:type="pct"/>
            <w:shd w:val="clear" w:color="auto" w:fill="auto"/>
            <w:vAlign w:val="center"/>
          </w:tcPr>
          <w:p w14:paraId="47D9BBE0">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18540-29-9</w:t>
            </w:r>
          </w:p>
        </w:tc>
        <w:tc>
          <w:tcPr>
            <w:tcW w:w="817" w:type="pct"/>
            <w:shd w:val="clear" w:color="auto" w:fill="auto"/>
            <w:vAlign w:val="center"/>
          </w:tcPr>
          <w:p w14:paraId="07096156">
            <w:pPr>
              <w:kinsoku/>
              <w:autoSpaceDE/>
              <w:autoSpaceDN/>
              <w:adjustRightInd/>
              <w:snapToGrid/>
              <w:jc w:val="center"/>
              <w:textAlignment w:val="center"/>
              <w:rPr>
                <w:rFonts w:hint="default" w:ascii="Times New Roman" w:hAnsi="Times New Roman" w:eastAsia="仿宋" w:cs="Times New Roman"/>
                <w:color w:val="auto"/>
                <w:lang w:eastAsia="zh-CN"/>
              </w:rPr>
            </w:pPr>
            <w:r>
              <w:rPr>
                <w:rFonts w:hint="default" w:ascii="Times New Roman" w:hAnsi="Times New Roman" w:eastAsia="仿宋" w:cs="Times New Roman"/>
                <w:lang w:eastAsia="zh-CN"/>
              </w:rPr>
              <w:t>5.7</w:t>
            </w:r>
          </w:p>
        </w:tc>
        <w:tc>
          <w:tcPr>
            <w:tcW w:w="1710" w:type="pct"/>
            <w:vMerge w:val="continue"/>
            <w:shd w:val="clear" w:color="auto" w:fill="auto"/>
            <w:vAlign w:val="center"/>
          </w:tcPr>
          <w:p w14:paraId="0DE7D55F">
            <w:pPr>
              <w:kinsoku/>
              <w:autoSpaceDE/>
              <w:autoSpaceDN/>
              <w:snapToGrid/>
              <w:jc w:val="center"/>
              <w:textAlignment w:val="auto"/>
              <w:rPr>
                <w:rFonts w:hint="default" w:ascii="Times New Roman" w:hAnsi="Times New Roman" w:eastAsia="仿宋" w:cs="Times New Roman"/>
                <w:color w:val="auto"/>
              </w:rPr>
            </w:pPr>
          </w:p>
        </w:tc>
      </w:tr>
      <w:tr w14:paraId="563BD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707DB9EF">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4</w:t>
            </w:r>
          </w:p>
        </w:tc>
        <w:tc>
          <w:tcPr>
            <w:tcW w:w="1115" w:type="pct"/>
            <w:shd w:val="clear" w:color="auto" w:fill="auto"/>
            <w:vAlign w:val="center"/>
          </w:tcPr>
          <w:p w14:paraId="225302A8">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铜</w:t>
            </w:r>
          </w:p>
        </w:tc>
        <w:tc>
          <w:tcPr>
            <w:tcW w:w="949" w:type="pct"/>
            <w:shd w:val="clear" w:color="auto" w:fill="auto"/>
            <w:vAlign w:val="center"/>
          </w:tcPr>
          <w:p w14:paraId="6599B22F">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7440-50-8</w:t>
            </w:r>
          </w:p>
        </w:tc>
        <w:tc>
          <w:tcPr>
            <w:tcW w:w="817" w:type="pct"/>
            <w:shd w:val="clear" w:color="auto" w:fill="auto"/>
            <w:vAlign w:val="center"/>
          </w:tcPr>
          <w:p w14:paraId="54559608">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18000</w:t>
            </w:r>
          </w:p>
        </w:tc>
        <w:tc>
          <w:tcPr>
            <w:tcW w:w="1710" w:type="pct"/>
            <w:vMerge w:val="continue"/>
            <w:shd w:val="clear" w:color="auto" w:fill="auto"/>
            <w:vAlign w:val="center"/>
          </w:tcPr>
          <w:p w14:paraId="72698C64">
            <w:pPr>
              <w:kinsoku/>
              <w:autoSpaceDE/>
              <w:autoSpaceDN/>
              <w:snapToGrid/>
              <w:jc w:val="center"/>
              <w:textAlignment w:val="auto"/>
              <w:rPr>
                <w:rFonts w:hint="default" w:ascii="Times New Roman" w:hAnsi="Times New Roman" w:eastAsia="仿宋" w:cs="Times New Roman"/>
                <w:color w:val="auto"/>
              </w:rPr>
            </w:pPr>
          </w:p>
        </w:tc>
      </w:tr>
      <w:tr w14:paraId="38425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4FAF996F">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5</w:t>
            </w:r>
          </w:p>
        </w:tc>
        <w:tc>
          <w:tcPr>
            <w:tcW w:w="1115" w:type="pct"/>
            <w:shd w:val="clear" w:color="auto" w:fill="auto"/>
            <w:vAlign w:val="center"/>
          </w:tcPr>
          <w:p w14:paraId="1E9E0DCB">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铅</w:t>
            </w:r>
          </w:p>
        </w:tc>
        <w:tc>
          <w:tcPr>
            <w:tcW w:w="949" w:type="pct"/>
            <w:shd w:val="clear" w:color="auto" w:fill="auto"/>
            <w:vAlign w:val="center"/>
          </w:tcPr>
          <w:p w14:paraId="3083EFC0">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7439-92-1</w:t>
            </w:r>
          </w:p>
        </w:tc>
        <w:tc>
          <w:tcPr>
            <w:tcW w:w="817" w:type="pct"/>
            <w:shd w:val="clear" w:color="auto" w:fill="auto"/>
            <w:vAlign w:val="center"/>
          </w:tcPr>
          <w:p w14:paraId="50916BC5">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800</w:t>
            </w:r>
          </w:p>
        </w:tc>
        <w:tc>
          <w:tcPr>
            <w:tcW w:w="1710" w:type="pct"/>
            <w:vMerge w:val="continue"/>
            <w:shd w:val="clear" w:color="auto" w:fill="auto"/>
            <w:vAlign w:val="center"/>
          </w:tcPr>
          <w:p w14:paraId="75E0484B">
            <w:pPr>
              <w:kinsoku/>
              <w:autoSpaceDE/>
              <w:autoSpaceDN/>
              <w:snapToGrid/>
              <w:jc w:val="center"/>
              <w:textAlignment w:val="auto"/>
              <w:rPr>
                <w:rFonts w:hint="default" w:ascii="Times New Roman" w:hAnsi="Times New Roman" w:eastAsia="仿宋" w:cs="Times New Roman"/>
                <w:color w:val="auto"/>
              </w:rPr>
            </w:pPr>
          </w:p>
        </w:tc>
      </w:tr>
      <w:tr w14:paraId="597913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64DEEE3F">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6</w:t>
            </w:r>
          </w:p>
        </w:tc>
        <w:tc>
          <w:tcPr>
            <w:tcW w:w="1115" w:type="pct"/>
            <w:shd w:val="clear" w:color="auto" w:fill="auto"/>
            <w:vAlign w:val="center"/>
          </w:tcPr>
          <w:p w14:paraId="5766CE23">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汞</w:t>
            </w:r>
          </w:p>
        </w:tc>
        <w:tc>
          <w:tcPr>
            <w:tcW w:w="949" w:type="pct"/>
            <w:shd w:val="clear" w:color="auto" w:fill="auto"/>
            <w:vAlign w:val="center"/>
          </w:tcPr>
          <w:p w14:paraId="1DFEFA18">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7439-97-6</w:t>
            </w:r>
          </w:p>
        </w:tc>
        <w:tc>
          <w:tcPr>
            <w:tcW w:w="817" w:type="pct"/>
            <w:shd w:val="clear" w:color="auto" w:fill="auto"/>
            <w:vAlign w:val="center"/>
          </w:tcPr>
          <w:p w14:paraId="59CD3B57">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38</w:t>
            </w:r>
          </w:p>
        </w:tc>
        <w:tc>
          <w:tcPr>
            <w:tcW w:w="1710" w:type="pct"/>
            <w:vMerge w:val="continue"/>
            <w:shd w:val="clear" w:color="auto" w:fill="auto"/>
            <w:vAlign w:val="center"/>
          </w:tcPr>
          <w:p w14:paraId="316A6388">
            <w:pPr>
              <w:kinsoku/>
              <w:autoSpaceDE/>
              <w:autoSpaceDN/>
              <w:snapToGrid/>
              <w:jc w:val="center"/>
              <w:textAlignment w:val="auto"/>
              <w:rPr>
                <w:rFonts w:hint="default" w:ascii="Times New Roman" w:hAnsi="Times New Roman" w:eastAsia="仿宋" w:cs="Times New Roman"/>
                <w:color w:val="auto"/>
              </w:rPr>
            </w:pPr>
          </w:p>
        </w:tc>
      </w:tr>
      <w:tr w14:paraId="0C102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14F1C175">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w:t>
            </w:r>
          </w:p>
        </w:tc>
        <w:tc>
          <w:tcPr>
            <w:tcW w:w="1115" w:type="pct"/>
            <w:shd w:val="clear" w:color="auto" w:fill="auto"/>
            <w:vAlign w:val="center"/>
          </w:tcPr>
          <w:p w14:paraId="1997560F">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镍</w:t>
            </w:r>
          </w:p>
        </w:tc>
        <w:tc>
          <w:tcPr>
            <w:tcW w:w="949" w:type="pct"/>
            <w:shd w:val="clear" w:color="auto" w:fill="auto"/>
            <w:vAlign w:val="center"/>
          </w:tcPr>
          <w:p w14:paraId="5DCD4BE6">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7440-02-0</w:t>
            </w:r>
          </w:p>
        </w:tc>
        <w:tc>
          <w:tcPr>
            <w:tcW w:w="817" w:type="pct"/>
            <w:shd w:val="clear" w:color="auto" w:fill="auto"/>
            <w:vAlign w:val="center"/>
          </w:tcPr>
          <w:p w14:paraId="27E59737">
            <w:pPr>
              <w:kinsoku/>
              <w:autoSpaceDE/>
              <w:autoSpaceDN/>
              <w:adjustRightInd/>
              <w:snapToGrid/>
              <w:jc w:val="center"/>
              <w:textAlignment w:val="center"/>
              <w:rPr>
                <w:rFonts w:hint="default" w:ascii="Times New Roman" w:hAnsi="Times New Roman" w:eastAsia="仿宋" w:cs="Times New Roman"/>
                <w:color w:val="auto"/>
                <w:lang w:eastAsia="zh-CN"/>
              </w:rPr>
            </w:pPr>
            <w:r>
              <w:rPr>
                <w:rFonts w:hint="default" w:ascii="Times New Roman" w:hAnsi="Times New Roman" w:eastAsia="仿宋" w:cs="Times New Roman"/>
                <w:lang w:eastAsia="zh-CN"/>
              </w:rPr>
              <w:t>900</w:t>
            </w:r>
          </w:p>
        </w:tc>
        <w:tc>
          <w:tcPr>
            <w:tcW w:w="1710" w:type="pct"/>
            <w:vMerge w:val="continue"/>
            <w:shd w:val="clear" w:color="auto" w:fill="auto"/>
            <w:vAlign w:val="center"/>
          </w:tcPr>
          <w:p w14:paraId="2DE6D899">
            <w:pPr>
              <w:kinsoku/>
              <w:autoSpaceDE/>
              <w:autoSpaceDN/>
              <w:snapToGrid/>
              <w:jc w:val="center"/>
              <w:textAlignment w:val="auto"/>
              <w:rPr>
                <w:rFonts w:hint="default" w:ascii="Times New Roman" w:hAnsi="Times New Roman" w:eastAsia="仿宋" w:cs="Times New Roman"/>
                <w:color w:val="auto"/>
              </w:rPr>
            </w:pPr>
          </w:p>
        </w:tc>
      </w:tr>
      <w:tr w14:paraId="22246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shd w:val="clear" w:color="auto" w:fill="auto"/>
            <w:vAlign w:val="center"/>
          </w:tcPr>
          <w:p w14:paraId="61D77806">
            <w:pPr>
              <w:kinsoku/>
              <w:autoSpaceDE/>
              <w:autoSpaceDN/>
              <w:snapToGrid/>
              <w:jc w:val="center"/>
              <w:textAlignment w:val="auto"/>
              <w:rPr>
                <w:rFonts w:hint="default" w:ascii="Times New Roman" w:hAnsi="Times New Roman" w:eastAsia="仿宋" w:cs="Times New Roman"/>
                <w:b/>
                <w:color w:val="auto"/>
              </w:rPr>
            </w:pPr>
            <w:r>
              <w:rPr>
                <w:rFonts w:hint="default" w:ascii="Times New Roman" w:hAnsi="Times New Roman" w:eastAsia="仿宋" w:cs="Times New Roman"/>
                <w:b/>
                <w:color w:val="auto"/>
              </w:rPr>
              <w:t>挥发性有机物</w:t>
            </w:r>
          </w:p>
        </w:tc>
      </w:tr>
      <w:tr w14:paraId="1B568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68EC96FE">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8</w:t>
            </w:r>
          </w:p>
        </w:tc>
        <w:tc>
          <w:tcPr>
            <w:tcW w:w="1115" w:type="pct"/>
            <w:shd w:val="clear" w:color="auto" w:fill="auto"/>
            <w:vAlign w:val="center"/>
          </w:tcPr>
          <w:p w14:paraId="5769802A">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四氯化碳</w:t>
            </w:r>
          </w:p>
        </w:tc>
        <w:tc>
          <w:tcPr>
            <w:tcW w:w="949" w:type="pct"/>
            <w:shd w:val="clear" w:color="auto" w:fill="auto"/>
            <w:vAlign w:val="center"/>
          </w:tcPr>
          <w:p w14:paraId="0566A8B3">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56-23-5</w:t>
            </w:r>
          </w:p>
        </w:tc>
        <w:tc>
          <w:tcPr>
            <w:tcW w:w="817" w:type="pct"/>
            <w:shd w:val="clear" w:color="auto" w:fill="auto"/>
            <w:vAlign w:val="center"/>
          </w:tcPr>
          <w:p w14:paraId="4E627B8C">
            <w:pPr>
              <w:kinsoku/>
              <w:autoSpaceDE/>
              <w:autoSpaceDN/>
              <w:adjustRightInd/>
              <w:snapToGrid/>
              <w:jc w:val="center"/>
              <w:textAlignment w:val="center"/>
              <w:rPr>
                <w:rFonts w:hint="default" w:ascii="Times New Roman" w:hAnsi="Times New Roman" w:eastAsia="仿宋" w:cs="Times New Roman"/>
                <w:color w:val="auto"/>
                <w:lang w:eastAsia="zh-CN"/>
              </w:rPr>
            </w:pPr>
            <w:r>
              <w:rPr>
                <w:rFonts w:hint="default" w:ascii="Times New Roman" w:hAnsi="Times New Roman" w:eastAsia="仿宋" w:cs="Times New Roman"/>
                <w:lang w:eastAsia="zh-CN"/>
              </w:rPr>
              <w:t>2.8</w:t>
            </w:r>
          </w:p>
        </w:tc>
        <w:tc>
          <w:tcPr>
            <w:tcW w:w="1710" w:type="pct"/>
            <w:vMerge w:val="restart"/>
            <w:shd w:val="clear" w:color="auto" w:fill="auto"/>
            <w:vAlign w:val="center"/>
          </w:tcPr>
          <w:p w14:paraId="332A7D41">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《土壤环境质量建设用地土壤污染风险管控标准（试行）》(GB36600-2018)</w:t>
            </w:r>
          </w:p>
          <w:p w14:paraId="001406D3">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（第</w:t>
            </w:r>
            <w:r>
              <w:rPr>
                <w:rFonts w:hint="default" w:ascii="Times New Roman" w:hAnsi="Times New Roman" w:eastAsia="仿宋" w:cs="Times New Roman"/>
                <w:color w:val="auto"/>
                <w:lang w:eastAsia="zh-CN"/>
              </w:rPr>
              <w:t>二</w:t>
            </w:r>
            <w:r>
              <w:rPr>
                <w:rFonts w:hint="default" w:ascii="Times New Roman" w:hAnsi="Times New Roman" w:eastAsia="仿宋" w:cs="Times New Roman"/>
                <w:color w:val="auto"/>
              </w:rPr>
              <w:t>类用地）</w:t>
            </w:r>
          </w:p>
        </w:tc>
      </w:tr>
      <w:tr w14:paraId="78458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61CBB4A8">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9</w:t>
            </w:r>
          </w:p>
        </w:tc>
        <w:tc>
          <w:tcPr>
            <w:tcW w:w="1115" w:type="pct"/>
            <w:shd w:val="clear" w:color="auto" w:fill="auto"/>
            <w:vAlign w:val="center"/>
          </w:tcPr>
          <w:p w14:paraId="5EDE8CBC">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氯仿</w:t>
            </w:r>
          </w:p>
        </w:tc>
        <w:tc>
          <w:tcPr>
            <w:tcW w:w="949" w:type="pct"/>
            <w:shd w:val="clear" w:color="auto" w:fill="auto"/>
            <w:vAlign w:val="center"/>
          </w:tcPr>
          <w:p w14:paraId="1ACA043B">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67-66-3</w:t>
            </w:r>
          </w:p>
        </w:tc>
        <w:tc>
          <w:tcPr>
            <w:tcW w:w="817" w:type="pct"/>
            <w:shd w:val="clear" w:color="auto" w:fill="auto"/>
            <w:vAlign w:val="center"/>
          </w:tcPr>
          <w:p w14:paraId="53110F8B">
            <w:pPr>
              <w:kinsoku/>
              <w:autoSpaceDE/>
              <w:autoSpaceDN/>
              <w:adjustRightInd/>
              <w:snapToGrid/>
              <w:jc w:val="center"/>
              <w:textAlignment w:val="center"/>
              <w:rPr>
                <w:rFonts w:hint="default" w:ascii="Times New Roman" w:hAnsi="Times New Roman" w:eastAsia="仿宋" w:cs="Times New Roman"/>
                <w:color w:val="auto"/>
                <w:lang w:eastAsia="zh-CN"/>
              </w:rPr>
            </w:pPr>
            <w:r>
              <w:rPr>
                <w:rFonts w:hint="default" w:ascii="Times New Roman" w:hAnsi="Times New Roman" w:eastAsia="仿宋" w:cs="Times New Roman"/>
                <w:lang w:eastAsia="zh-CN"/>
              </w:rPr>
              <w:t>0.9</w:t>
            </w:r>
          </w:p>
        </w:tc>
        <w:tc>
          <w:tcPr>
            <w:tcW w:w="1710" w:type="pct"/>
            <w:vMerge w:val="continue"/>
            <w:shd w:val="clear" w:color="auto" w:fill="auto"/>
            <w:vAlign w:val="center"/>
          </w:tcPr>
          <w:p w14:paraId="508E259B">
            <w:pPr>
              <w:kinsoku/>
              <w:autoSpaceDE/>
              <w:autoSpaceDN/>
              <w:snapToGrid/>
              <w:jc w:val="center"/>
              <w:textAlignment w:val="auto"/>
              <w:rPr>
                <w:rFonts w:hint="default" w:ascii="Times New Roman" w:hAnsi="Times New Roman" w:eastAsia="仿宋" w:cs="Times New Roman"/>
                <w:color w:val="auto"/>
              </w:rPr>
            </w:pPr>
          </w:p>
        </w:tc>
      </w:tr>
      <w:tr w14:paraId="06A482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1EE0CB2B">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10</w:t>
            </w:r>
          </w:p>
        </w:tc>
        <w:tc>
          <w:tcPr>
            <w:tcW w:w="1115" w:type="pct"/>
            <w:shd w:val="clear" w:color="auto" w:fill="auto"/>
            <w:vAlign w:val="center"/>
          </w:tcPr>
          <w:p w14:paraId="30DEEDFD">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氯甲烷</w:t>
            </w:r>
          </w:p>
        </w:tc>
        <w:tc>
          <w:tcPr>
            <w:tcW w:w="949" w:type="pct"/>
            <w:shd w:val="clear" w:color="auto" w:fill="auto"/>
            <w:vAlign w:val="center"/>
          </w:tcPr>
          <w:p w14:paraId="735CD3AE">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74-87-3</w:t>
            </w:r>
          </w:p>
        </w:tc>
        <w:tc>
          <w:tcPr>
            <w:tcW w:w="817" w:type="pct"/>
            <w:shd w:val="clear" w:color="auto" w:fill="auto"/>
            <w:vAlign w:val="center"/>
          </w:tcPr>
          <w:p w14:paraId="4B31B312">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37</w:t>
            </w:r>
          </w:p>
        </w:tc>
        <w:tc>
          <w:tcPr>
            <w:tcW w:w="1710" w:type="pct"/>
            <w:vMerge w:val="continue"/>
            <w:shd w:val="clear" w:color="auto" w:fill="auto"/>
            <w:vAlign w:val="center"/>
          </w:tcPr>
          <w:p w14:paraId="4CAF92EE">
            <w:pPr>
              <w:kinsoku/>
              <w:autoSpaceDE/>
              <w:autoSpaceDN/>
              <w:snapToGrid/>
              <w:jc w:val="center"/>
              <w:textAlignment w:val="auto"/>
              <w:rPr>
                <w:rFonts w:hint="default" w:ascii="Times New Roman" w:hAnsi="Times New Roman" w:eastAsia="仿宋" w:cs="Times New Roman"/>
                <w:color w:val="auto"/>
              </w:rPr>
            </w:pPr>
          </w:p>
        </w:tc>
      </w:tr>
      <w:tr w14:paraId="3ED60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703665B0">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11</w:t>
            </w:r>
          </w:p>
        </w:tc>
        <w:tc>
          <w:tcPr>
            <w:tcW w:w="1115" w:type="pct"/>
            <w:shd w:val="clear" w:color="auto" w:fill="auto"/>
            <w:vAlign w:val="center"/>
          </w:tcPr>
          <w:p w14:paraId="71E80346">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1,1-二氯乙烷</w:t>
            </w:r>
          </w:p>
        </w:tc>
        <w:tc>
          <w:tcPr>
            <w:tcW w:w="949" w:type="pct"/>
            <w:shd w:val="clear" w:color="auto" w:fill="auto"/>
            <w:vAlign w:val="center"/>
          </w:tcPr>
          <w:p w14:paraId="6CD29BD3">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75-34-3</w:t>
            </w:r>
          </w:p>
        </w:tc>
        <w:tc>
          <w:tcPr>
            <w:tcW w:w="817" w:type="pct"/>
            <w:shd w:val="clear" w:color="auto" w:fill="auto"/>
            <w:vAlign w:val="center"/>
          </w:tcPr>
          <w:p w14:paraId="66B0D02E">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9</w:t>
            </w:r>
          </w:p>
        </w:tc>
        <w:tc>
          <w:tcPr>
            <w:tcW w:w="1710" w:type="pct"/>
            <w:vMerge w:val="continue"/>
            <w:shd w:val="clear" w:color="auto" w:fill="auto"/>
            <w:vAlign w:val="center"/>
          </w:tcPr>
          <w:p w14:paraId="282F6F85">
            <w:pPr>
              <w:kinsoku/>
              <w:autoSpaceDE/>
              <w:autoSpaceDN/>
              <w:snapToGrid/>
              <w:jc w:val="center"/>
              <w:textAlignment w:val="auto"/>
              <w:rPr>
                <w:rFonts w:hint="default" w:ascii="Times New Roman" w:hAnsi="Times New Roman" w:eastAsia="仿宋" w:cs="Times New Roman"/>
                <w:color w:val="auto"/>
              </w:rPr>
            </w:pPr>
          </w:p>
        </w:tc>
      </w:tr>
      <w:tr w14:paraId="1D805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35305279">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12</w:t>
            </w:r>
          </w:p>
        </w:tc>
        <w:tc>
          <w:tcPr>
            <w:tcW w:w="1115" w:type="pct"/>
            <w:shd w:val="clear" w:color="auto" w:fill="auto"/>
            <w:vAlign w:val="center"/>
          </w:tcPr>
          <w:p w14:paraId="19D8C593">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1,2-二氯乙烷</w:t>
            </w:r>
          </w:p>
        </w:tc>
        <w:tc>
          <w:tcPr>
            <w:tcW w:w="949" w:type="pct"/>
            <w:shd w:val="clear" w:color="auto" w:fill="auto"/>
            <w:vAlign w:val="center"/>
          </w:tcPr>
          <w:p w14:paraId="2C20552C">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107-06-2</w:t>
            </w:r>
          </w:p>
        </w:tc>
        <w:tc>
          <w:tcPr>
            <w:tcW w:w="817" w:type="pct"/>
            <w:shd w:val="clear" w:color="auto" w:fill="auto"/>
            <w:vAlign w:val="center"/>
          </w:tcPr>
          <w:p w14:paraId="6F70385F">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5</w:t>
            </w:r>
          </w:p>
        </w:tc>
        <w:tc>
          <w:tcPr>
            <w:tcW w:w="1710" w:type="pct"/>
            <w:vMerge w:val="continue"/>
            <w:shd w:val="clear" w:color="auto" w:fill="auto"/>
            <w:vAlign w:val="center"/>
          </w:tcPr>
          <w:p w14:paraId="3F2F87FA">
            <w:pPr>
              <w:kinsoku/>
              <w:autoSpaceDE/>
              <w:autoSpaceDN/>
              <w:snapToGrid/>
              <w:jc w:val="center"/>
              <w:textAlignment w:val="auto"/>
              <w:rPr>
                <w:rFonts w:hint="default" w:ascii="Times New Roman" w:hAnsi="Times New Roman" w:eastAsia="仿宋" w:cs="Times New Roman"/>
                <w:color w:val="auto"/>
              </w:rPr>
            </w:pPr>
          </w:p>
        </w:tc>
      </w:tr>
      <w:tr w14:paraId="04E7C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5FC4FA04">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13</w:t>
            </w:r>
          </w:p>
        </w:tc>
        <w:tc>
          <w:tcPr>
            <w:tcW w:w="1115" w:type="pct"/>
            <w:shd w:val="clear" w:color="auto" w:fill="auto"/>
            <w:vAlign w:val="center"/>
          </w:tcPr>
          <w:p w14:paraId="22B84299">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1,1-二氯乙烯</w:t>
            </w:r>
          </w:p>
        </w:tc>
        <w:tc>
          <w:tcPr>
            <w:tcW w:w="949" w:type="pct"/>
            <w:shd w:val="clear" w:color="auto" w:fill="auto"/>
            <w:vAlign w:val="center"/>
          </w:tcPr>
          <w:p w14:paraId="11DFA494">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75-35-4</w:t>
            </w:r>
          </w:p>
        </w:tc>
        <w:tc>
          <w:tcPr>
            <w:tcW w:w="817" w:type="pct"/>
            <w:shd w:val="clear" w:color="auto" w:fill="auto"/>
            <w:vAlign w:val="center"/>
          </w:tcPr>
          <w:p w14:paraId="4BB96FB2">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66</w:t>
            </w:r>
          </w:p>
        </w:tc>
        <w:tc>
          <w:tcPr>
            <w:tcW w:w="1710" w:type="pct"/>
            <w:vMerge w:val="continue"/>
            <w:shd w:val="clear" w:color="auto" w:fill="auto"/>
            <w:vAlign w:val="center"/>
          </w:tcPr>
          <w:p w14:paraId="23FEE6C4">
            <w:pPr>
              <w:kinsoku/>
              <w:autoSpaceDE/>
              <w:autoSpaceDN/>
              <w:snapToGrid/>
              <w:jc w:val="center"/>
              <w:textAlignment w:val="auto"/>
              <w:rPr>
                <w:rFonts w:hint="default" w:ascii="Times New Roman" w:hAnsi="Times New Roman" w:eastAsia="仿宋" w:cs="Times New Roman"/>
                <w:color w:val="auto"/>
              </w:rPr>
            </w:pPr>
          </w:p>
        </w:tc>
      </w:tr>
      <w:tr w14:paraId="424D6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4A6FC6CE">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14</w:t>
            </w:r>
          </w:p>
        </w:tc>
        <w:tc>
          <w:tcPr>
            <w:tcW w:w="1115" w:type="pct"/>
            <w:shd w:val="clear" w:color="auto" w:fill="auto"/>
            <w:vAlign w:val="center"/>
          </w:tcPr>
          <w:p w14:paraId="3D2AB703">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顺-1,2-二氯乙烯</w:t>
            </w:r>
          </w:p>
        </w:tc>
        <w:tc>
          <w:tcPr>
            <w:tcW w:w="949" w:type="pct"/>
            <w:shd w:val="clear" w:color="auto" w:fill="auto"/>
            <w:vAlign w:val="center"/>
          </w:tcPr>
          <w:p w14:paraId="2ABBB054">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156-59-2</w:t>
            </w:r>
          </w:p>
        </w:tc>
        <w:tc>
          <w:tcPr>
            <w:tcW w:w="817" w:type="pct"/>
            <w:shd w:val="clear" w:color="auto" w:fill="auto"/>
            <w:vAlign w:val="center"/>
          </w:tcPr>
          <w:p w14:paraId="7D684FDE">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596</w:t>
            </w:r>
          </w:p>
        </w:tc>
        <w:tc>
          <w:tcPr>
            <w:tcW w:w="1710" w:type="pct"/>
            <w:vMerge w:val="continue"/>
            <w:shd w:val="clear" w:color="auto" w:fill="auto"/>
            <w:vAlign w:val="center"/>
          </w:tcPr>
          <w:p w14:paraId="25CCF12F">
            <w:pPr>
              <w:kinsoku/>
              <w:autoSpaceDE/>
              <w:autoSpaceDN/>
              <w:snapToGrid/>
              <w:jc w:val="center"/>
              <w:textAlignment w:val="auto"/>
              <w:rPr>
                <w:rFonts w:hint="default" w:ascii="Times New Roman" w:hAnsi="Times New Roman" w:eastAsia="仿宋" w:cs="Times New Roman"/>
                <w:color w:val="auto"/>
              </w:rPr>
            </w:pPr>
          </w:p>
        </w:tc>
      </w:tr>
      <w:tr w14:paraId="68F32A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2DF00883">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15</w:t>
            </w:r>
          </w:p>
        </w:tc>
        <w:tc>
          <w:tcPr>
            <w:tcW w:w="1115" w:type="pct"/>
            <w:shd w:val="clear" w:color="auto" w:fill="auto"/>
            <w:vAlign w:val="center"/>
          </w:tcPr>
          <w:p w14:paraId="6C835497">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反-1,2-二氯乙烯</w:t>
            </w:r>
          </w:p>
        </w:tc>
        <w:tc>
          <w:tcPr>
            <w:tcW w:w="949" w:type="pct"/>
            <w:shd w:val="clear" w:color="auto" w:fill="auto"/>
            <w:vAlign w:val="center"/>
          </w:tcPr>
          <w:p w14:paraId="05511E3E">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156-60-5</w:t>
            </w:r>
          </w:p>
        </w:tc>
        <w:tc>
          <w:tcPr>
            <w:tcW w:w="817" w:type="pct"/>
            <w:shd w:val="clear" w:color="auto" w:fill="auto"/>
            <w:vAlign w:val="center"/>
          </w:tcPr>
          <w:p w14:paraId="1401EDE5">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54</w:t>
            </w:r>
          </w:p>
        </w:tc>
        <w:tc>
          <w:tcPr>
            <w:tcW w:w="1710" w:type="pct"/>
            <w:vMerge w:val="continue"/>
            <w:shd w:val="clear" w:color="auto" w:fill="auto"/>
            <w:vAlign w:val="center"/>
          </w:tcPr>
          <w:p w14:paraId="2910149A">
            <w:pPr>
              <w:kinsoku/>
              <w:autoSpaceDE/>
              <w:autoSpaceDN/>
              <w:snapToGrid/>
              <w:jc w:val="center"/>
              <w:textAlignment w:val="auto"/>
              <w:rPr>
                <w:rFonts w:hint="default" w:ascii="Times New Roman" w:hAnsi="Times New Roman" w:eastAsia="仿宋" w:cs="Times New Roman"/>
                <w:color w:val="auto"/>
              </w:rPr>
            </w:pPr>
          </w:p>
        </w:tc>
      </w:tr>
      <w:tr w14:paraId="6F81A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53B00A5D">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16</w:t>
            </w:r>
          </w:p>
        </w:tc>
        <w:tc>
          <w:tcPr>
            <w:tcW w:w="1115" w:type="pct"/>
            <w:shd w:val="clear" w:color="auto" w:fill="auto"/>
            <w:vAlign w:val="center"/>
          </w:tcPr>
          <w:p w14:paraId="238A7F68">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二氯甲烷</w:t>
            </w:r>
          </w:p>
        </w:tc>
        <w:tc>
          <w:tcPr>
            <w:tcW w:w="949" w:type="pct"/>
            <w:shd w:val="clear" w:color="auto" w:fill="auto"/>
            <w:vAlign w:val="center"/>
          </w:tcPr>
          <w:p w14:paraId="134688A8">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75-09-2</w:t>
            </w:r>
          </w:p>
        </w:tc>
        <w:tc>
          <w:tcPr>
            <w:tcW w:w="817" w:type="pct"/>
            <w:shd w:val="clear" w:color="auto" w:fill="auto"/>
            <w:vAlign w:val="center"/>
          </w:tcPr>
          <w:p w14:paraId="13F560A3">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616</w:t>
            </w:r>
          </w:p>
        </w:tc>
        <w:tc>
          <w:tcPr>
            <w:tcW w:w="1710" w:type="pct"/>
            <w:vMerge w:val="continue"/>
            <w:shd w:val="clear" w:color="auto" w:fill="auto"/>
            <w:vAlign w:val="center"/>
          </w:tcPr>
          <w:p w14:paraId="47890B41">
            <w:pPr>
              <w:kinsoku/>
              <w:autoSpaceDE/>
              <w:autoSpaceDN/>
              <w:snapToGrid/>
              <w:jc w:val="center"/>
              <w:textAlignment w:val="auto"/>
              <w:rPr>
                <w:rFonts w:hint="default" w:ascii="Times New Roman" w:hAnsi="Times New Roman" w:eastAsia="仿宋" w:cs="Times New Roman"/>
                <w:color w:val="auto"/>
              </w:rPr>
            </w:pPr>
          </w:p>
        </w:tc>
      </w:tr>
      <w:tr w14:paraId="72549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5BC0176E">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17</w:t>
            </w:r>
          </w:p>
        </w:tc>
        <w:tc>
          <w:tcPr>
            <w:tcW w:w="1115" w:type="pct"/>
            <w:shd w:val="clear" w:color="auto" w:fill="auto"/>
            <w:vAlign w:val="center"/>
          </w:tcPr>
          <w:p w14:paraId="734FB3CB">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1,2-二氯丙烷</w:t>
            </w:r>
          </w:p>
        </w:tc>
        <w:tc>
          <w:tcPr>
            <w:tcW w:w="949" w:type="pct"/>
            <w:shd w:val="clear" w:color="auto" w:fill="auto"/>
            <w:vAlign w:val="center"/>
          </w:tcPr>
          <w:p w14:paraId="53B174F8">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78-87-5</w:t>
            </w:r>
          </w:p>
        </w:tc>
        <w:tc>
          <w:tcPr>
            <w:tcW w:w="817" w:type="pct"/>
            <w:shd w:val="clear" w:color="auto" w:fill="auto"/>
            <w:vAlign w:val="center"/>
          </w:tcPr>
          <w:p w14:paraId="59E1429B">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5</w:t>
            </w:r>
          </w:p>
        </w:tc>
        <w:tc>
          <w:tcPr>
            <w:tcW w:w="1710" w:type="pct"/>
            <w:vMerge w:val="continue"/>
            <w:shd w:val="clear" w:color="auto" w:fill="auto"/>
            <w:vAlign w:val="center"/>
          </w:tcPr>
          <w:p w14:paraId="31C51F75">
            <w:pPr>
              <w:kinsoku/>
              <w:autoSpaceDE/>
              <w:autoSpaceDN/>
              <w:snapToGrid/>
              <w:jc w:val="center"/>
              <w:textAlignment w:val="auto"/>
              <w:rPr>
                <w:rFonts w:hint="default" w:ascii="Times New Roman" w:hAnsi="Times New Roman" w:eastAsia="仿宋" w:cs="Times New Roman"/>
                <w:color w:val="auto"/>
              </w:rPr>
            </w:pPr>
          </w:p>
        </w:tc>
      </w:tr>
      <w:tr w14:paraId="229FF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32E24374">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18</w:t>
            </w:r>
          </w:p>
        </w:tc>
        <w:tc>
          <w:tcPr>
            <w:tcW w:w="1115" w:type="pct"/>
            <w:shd w:val="clear" w:color="auto" w:fill="auto"/>
            <w:vAlign w:val="center"/>
          </w:tcPr>
          <w:p w14:paraId="2D42912F">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1,1,1,2-四氯乙烷</w:t>
            </w:r>
          </w:p>
        </w:tc>
        <w:tc>
          <w:tcPr>
            <w:tcW w:w="949" w:type="pct"/>
            <w:shd w:val="clear" w:color="auto" w:fill="auto"/>
            <w:vAlign w:val="center"/>
          </w:tcPr>
          <w:p w14:paraId="6DC87BF5">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630-20-6</w:t>
            </w:r>
          </w:p>
        </w:tc>
        <w:tc>
          <w:tcPr>
            <w:tcW w:w="817" w:type="pct"/>
            <w:shd w:val="clear" w:color="auto" w:fill="auto"/>
            <w:vAlign w:val="center"/>
          </w:tcPr>
          <w:p w14:paraId="3F485593">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10</w:t>
            </w:r>
          </w:p>
        </w:tc>
        <w:tc>
          <w:tcPr>
            <w:tcW w:w="1710" w:type="pct"/>
            <w:vMerge w:val="continue"/>
            <w:shd w:val="clear" w:color="auto" w:fill="auto"/>
            <w:vAlign w:val="center"/>
          </w:tcPr>
          <w:p w14:paraId="5507ADB6">
            <w:pPr>
              <w:kinsoku/>
              <w:autoSpaceDE/>
              <w:autoSpaceDN/>
              <w:snapToGrid/>
              <w:jc w:val="center"/>
              <w:textAlignment w:val="auto"/>
              <w:rPr>
                <w:rFonts w:hint="default" w:ascii="Times New Roman" w:hAnsi="Times New Roman" w:eastAsia="仿宋" w:cs="Times New Roman"/>
                <w:color w:val="auto"/>
              </w:rPr>
            </w:pPr>
          </w:p>
        </w:tc>
      </w:tr>
      <w:tr w14:paraId="7555C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6E387F82">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19</w:t>
            </w:r>
          </w:p>
        </w:tc>
        <w:tc>
          <w:tcPr>
            <w:tcW w:w="1115" w:type="pct"/>
            <w:shd w:val="clear" w:color="auto" w:fill="auto"/>
            <w:vAlign w:val="center"/>
          </w:tcPr>
          <w:p w14:paraId="08809F42">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1,1,2,2-四氯乙烷</w:t>
            </w:r>
          </w:p>
        </w:tc>
        <w:tc>
          <w:tcPr>
            <w:tcW w:w="949" w:type="pct"/>
            <w:shd w:val="clear" w:color="auto" w:fill="auto"/>
            <w:vAlign w:val="center"/>
          </w:tcPr>
          <w:p w14:paraId="496A525C">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79-34-5</w:t>
            </w:r>
          </w:p>
        </w:tc>
        <w:tc>
          <w:tcPr>
            <w:tcW w:w="817" w:type="pct"/>
            <w:shd w:val="clear" w:color="auto" w:fill="auto"/>
            <w:vAlign w:val="center"/>
          </w:tcPr>
          <w:p w14:paraId="0EE673C8">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6.8</w:t>
            </w:r>
          </w:p>
        </w:tc>
        <w:tc>
          <w:tcPr>
            <w:tcW w:w="1710" w:type="pct"/>
            <w:vMerge w:val="continue"/>
            <w:shd w:val="clear" w:color="auto" w:fill="auto"/>
            <w:vAlign w:val="center"/>
          </w:tcPr>
          <w:p w14:paraId="39F489C3">
            <w:pPr>
              <w:kinsoku/>
              <w:autoSpaceDE/>
              <w:autoSpaceDN/>
              <w:snapToGrid/>
              <w:jc w:val="center"/>
              <w:textAlignment w:val="auto"/>
              <w:rPr>
                <w:rFonts w:hint="default" w:ascii="Times New Roman" w:hAnsi="Times New Roman" w:eastAsia="仿宋" w:cs="Times New Roman"/>
                <w:color w:val="auto"/>
              </w:rPr>
            </w:pPr>
          </w:p>
        </w:tc>
      </w:tr>
      <w:tr w14:paraId="23F04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7731F78C">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20</w:t>
            </w:r>
          </w:p>
        </w:tc>
        <w:tc>
          <w:tcPr>
            <w:tcW w:w="1115" w:type="pct"/>
            <w:shd w:val="clear" w:color="auto" w:fill="auto"/>
            <w:vAlign w:val="center"/>
          </w:tcPr>
          <w:p w14:paraId="52F2A893">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四氯乙烯</w:t>
            </w:r>
          </w:p>
        </w:tc>
        <w:tc>
          <w:tcPr>
            <w:tcW w:w="949" w:type="pct"/>
            <w:shd w:val="clear" w:color="auto" w:fill="auto"/>
            <w:vAlign w:val="center"/>
          </w:tcPr>
          <w:p w14:paraId="4239ECD7">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127-18-4</w:t>
            </w:r>
          </w:p>
        </w:tc>
        <w:tc>
          <w:tcPr>
            <w:tcW w:w="817" w:type="pct"/>
            <w:shd w:val="clear" w:color="auto" w:fill="auto"/>
            <w:vAlign w:val="center"/>
          </w:tcPr>
          <w:p w14:paraId="433FBAFD">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53</w:t>
            </w:r>
          </w:p>
        </w:tc>
        <w:tc>
          <w:tcPr>
            <w:tcW w:w="1710" w:type="pct"/>
            <w:vMerge w:val="continue"/>
            <w:shd w:val="clear" w:color="auto" w:fill="auto"/>
            <w:vAlign w:val="center"/>
          </w:tcPr>
          <w:p w14:paraId="7EF54F4D">
            <w:pPr>
              <w:kinsoku/>
              <w:autoSpaceDE/>
              <w:autoSpaceDN/>
              <w:snapToGrid/>
              <w:jc w:val="center"/>
              <w:textAlignment w:val="auto"/>
              <w:rPr>
                <w:rFonts w:hint="default" w:ascii="Times New Roman" w:hAnsi="Times New Roman" w:eastAsia="仿宋" w:cs="Times New Roman"/>
                <w:color w:val="auto"/>
              </w:rPr>
            </w:pPr>
          </w:p>
        </w:tc>
      </w:tr>
      <w:tr w14:paraId="62425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535C0E07">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21</w:t>
            </w:r>
          </w:p>
        </w:tc>
        <w:tc>
          <w:tcPr>
            <w:tcW w:w="1115" w:type="pct"/>
            <w:shd w:val="clear" w:color="auto" w:fill="auto"/>
            <w:vAlign w:val="center"/>
          </w:tcPr>
          <w:p w14:paraId="0D92F6EA">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1,1,1-三氯乙烷</w:t>
            </w:r>
          </w:p>
        </w:tc>
        <w:tc>
          <w:tcPr>
            <w:tcW w:w="949" w:type="pct"/>
            <w:shd w:val="clear" w:color="auto" w:fill="auto"/>
            <w:vAlign w:val="center"/>
          </w:tcPr>
          <w:p w14:paraId="5A1736B7">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71-55-6</w:t>
            </w:r>
          </w:p>
        </w:tc>
        <w:tc>
          <w:tcPr>
            <w:tcW w:w="817" w:type="pct"/>
            <w:shd w:val="clear" w:color="auto" w:fill="auto"/>
            <w:vAlign w:val="center"/>
          </w:tcPr>
          <w:p w14:paraId="479ADDCD">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840</w:t>
            </w:r>
          </w:p>
        </w:tc>
        <w:tc>
          <w:tcPr>
            <w:tcW w:w="1710" w:type="pct"/>
            <w:vMerge w:val="continue"/>
            <w:shd w:val="clear" w:color="auto" w:fill="auto"/>
            <w:vAlign w:val="center"/>
          </w:tcPr>
          <w:p w14:paraId="1B3BDAB7">
            <w:pPr>
              <w:kinsoku/>
              <w:autoSpaceDE/>
              <w:autoSpaceDN/>
              <w:snapToGrid/>
              <w:jc w:val="center"/>
              <w:textAlignment w:val="auto"/>
              <w:rPr>
                <w:rFonts w:hint="default" w:ascii="Times New Roman" w:hAnsi="Times New Roman" w:eastAsia="仿宋" w:cs="Times New Roman"/>
                <w:color w:val="auto"/>
              </w:rPr>
            </w:pPr>
          </w:p>
        </w:tc>
      </w:tr>
      <w:tr w14:paraId="2E097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273A7F90">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22</w:t>
            </w:r>
          </w:p>
        </w:tc>
        <w:tc>
          <w:tcPr>
            <w:tcW w:w="1115" w:type="pct"/>
            <w:shd w:val="clear" w:color="auto" w:fill="auto"/>
            <w:vAlign w:val="center"/>
          </w:tcPr>
          <w:p w14:paraId="0A3C828B">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1,1,2-三氯乙烷</w:t>
            </w:r>
          </w:p>
        </w:tc>
        <w:tc>
          <w:tcPr>
            <w:tcW w:w="949" w:type="pct"/>
            <w:shd w:val="clear" w:color="auto" w:fill="auto"/>
            <w:vAlign w:val="center"/>
          </w:tcPr>
          <w:p w14:paraId="4E68D00F">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79-00-5</w:t>
            </w:r>
          </w:p>
        </w:tc>
        <w:tc>
          <w:tcPr>
            <w:tcW w:w="817" w:type="pct"/>
            <w:shd w:val="clear" w:color="auto" w:fill="auto"/>
            <w:vAlign w:val="center"/>
          </w:tcPr>
          <w:p w14:paraId="2602A6D1">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2.8</w:t>
            </w:r>
          </w:p>
        </w:tc>
        <w:tc>
          <w:tcPr>
            <w:tcW w:w="1710" w:type="pct"/>
            <w:vMerge w:val="continue"/>
            <w:shd w:val="clear" w:color="auto" w:fill="auto"/>
            <w:vAlign w:val="center"/>
          </w:tcPr>
          <w:p w14:paraId="4EC671D2">
            <w:pPr>
              <w:kinsoku/>
              <w:autoSpaceDE/>
              <w:autoSpaceDN/>
              <w:snapToGrid/>
              <w:jc w:val="center"/>
              <w:textAlignment w:val="auto"/>
              <w:rPr>
                <w:rFonts w:hint="default" w:ascii="Times New Roman" w:hAnsi="Times New Roman" w:eastAsia="仿宋" w:cs="Times New Roman"/>
                <w:color w:val="auto"/>
              </w:rPr>
            </w:pPr>
          </w:p>
        </w:tc>
      </w:tr>
      <w:tr w14:paraId="414E0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3BA4035B">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23</w:t>
            </w:r>
          </w:p>
        </w:tc>
        <w:tc>
          <w:tcPr>
            <w:tcW w:w="1115" w:type="pct"/>
            <w:shd w:val="clear" w:color="auto" w:fill="auto"/>
            <w:vAlign w:val="center"/>
          </w:tcPr>
          <w:p w14:paraId="1E2186F0">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三氯乙烯</w:t>
            </w:r>
          </w:p>
        </w:tc>
        <w:tc>
          <w:tcPr>
            <w:tcW w:w="949" w:type="pct"/>
            <w:shd w:val="clear" w:color="auto" w:fill="auto"/>
            <w:vAlign w:val="center"/>
          </w:tcPr>
          <w:p w14:paraId="0742669B">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79-01-6</w:t>
            </w:r>
          </w:p>
        </w:tc>
        <w:tc>
          <w:tcPr>
            <w:tcW w:w="817" w:type="pct"/>
            <w:shd w:val="clear" w:color="auto" w:fill="auto"/>
            <w:vAlign w:val="center"/>
          </w:tcPr>
          <w:p w14:paraId="1966EB61">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2.8</w:t>
            </w:r>
          </w:p>
        </w:tc>
        <w:tc>
          <w:tcPr>
            <w:tcW w:w="1710" w:type="pct"/>
            <w:vMerge w:val="continue"/>
            <w:shd w:val="clear" w:color="auto" w:fill="auto"/>
            <w:vAlign w:val="center"/>
          </w:tcPr>
          <w:p w14:paraId="1C609C04">
            <w:pPr>
              <w:kinsoku/>
              <w:autoSpaceDE/>
              <w:autoSpaceDN/>
              <w:snapToGrid/>
              <w:jc w:val="center"/>
              <w:textAlignment w:val="auto"/>
              <w:rPr>
                <w:rFonts w:hint="default" w:ascii="Times New Roman" w:hAnsi="Times New Roman" w:eastAsia="仿宋" w:cs="Times New Roman"/>
                <w:color w:val="auto"/>
              </w:rPr>
            </w:pPr>
          </w:p>
        </w:tc>
      </w:tr>
      <w:tr w14:paraId="54A920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6A47921E">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24</w:t>
            </w:r>
          </w:p>
        </w:tc>
        <w:tc>
          <w:tcPr>
            <w:tcW w:w="1115" w:type="pct"/>
            <w:shd w:val="clear" w:color="auto" w:fill="auto"/>
            <w:vAlign w:val="center"/>
          </w:tcPr>
          <w:p w14:paraId="56BD7EFC">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1,2,3-三氯丙烷</w:t>
            </w:r>
          </w:p>
        </w:tc>
        <w:tc>
          <w:tcPr>
            <w:tcW w:w="949" w:type="pct"/>
            <w:shd w:val="clear" w:color="auto" w:fill="auto"/>
            <w:vAlign w:val="center"/>
          </w:tcPr>
          <w:p w14:paraId="3EBD6D94">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96-18-4</w:t>
            </w:r>
          </w:p>
        </w:tc>
        <w:tc>
          <w:tcPr>
            <w:tcW w:w="817" w:type="pct"/>
            <w:shd w:val="clear" w:color="auto" w:fill="auto"/>
            <w:vAlign w:val="center"/>
          </w:tcPr>
          <w:p w14:paraId="04218D0D">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0.5</w:t>
            </w:r>
          </w:p>
        </w:tc>
        <w:tc>
          <w:tcPr>
            <w:tcW w:w="1710" w:type="pct"/>
            <w:vMerge w:val="continue"/>
            <w:shd w:val="clear" w:color="auto" w:fill="auto"/>
            <w:vAlign w:val="center"/>
          </w:tcPr>
          <w:p w14:paraId="162CEDBD">
            <w:pPr>
              <w:kinsoku/>
              <w:autoSpaceDE/>
              <w:autoSpaceDN/>
              <w:snapToGrid/>
              <w:jc w:val="center"/>
              <w:textAlignment w:val="auto"/>
              <w:rPr>
                <w:rFonts w:hint="default" w:ascii="Times New Roman" w:hAnsi="Times New Roman" w:eastAsia="仿宋" w:cs="Times New Roman"/>
                <w:color w:val="auto"/>
              </w:rPr>
            </w:pPr>
          </w:p>
        </w:tc>
      </w:tr>
      <w:tr w14:paraId="3178E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7741B1B4">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25</w:t>
            </w:r>
          </w:p>
        </w:tc>
        <w:tc>
          <w:tcPr>
            <w:tcW w:w="1115" w:type="pct"/>
            <w:shd w:val="clear" w:color="auto" w:fill="auto"/>
            <w:vAlign w:val="center"/>
          </w:tcPr>
          <w:p w14:paraId="2E4B36EF">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氯乙烯</w:t>
            </w:r>
          </w:p>
        </w:tc>
        <w:tc>
          <w:tcPr>
            <w:tcW w:w="949" w:type="pct"/>
            <w:shd w:val="clear" w:color="auto" w:fill="auto"/>
            <w:vAlign w:val="center"/>
          </w:tcPr>
          <w:p w14:paraId="16874213">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75-01-4</w:t>
            </w:r>
          </w:p>
        </w:tc>
        <w:tc>
          <w:tcPr>
            <w:tcW w:w="817" w:type="pct"/>
            <w:shd w:val="clear" w:color="auto" w:fill="auto"/>
            <w:vAlign w:val="center"/>
          </w:tcPr>
          <w:p w14:paraId="5DFE7ECF">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0.43</w:t>
            </w:r>
          </w:p>
        </w:tc>
        <w:tc>
          <w:tcPr>
            <w:tcW w:w="1710" w:type="pct"/>
            <w:vMerge w:val="continue"/>
            <w:shd w:val="clear" w:color="auto" w:fill="auto"/>
            <w:vAlign w:val="center"/>
          </w:tcPr>
          <w:p w14:paraId="0753B5FA">
            <w:pPr>
              <w:kinsoku/>
              <w:autoSpaceDE/>
              <w:autoSpaceDN/>
              <w:snapToGrid/>
              <w:jc w:val="center"/>
              <w:textAlignment w:val="auto"/>
              <w:rPr>
                <w:rFonts w:hint="default" w:ascii="Times New Roman" w:hAnsi="Times New Roman" w:eastAsia="仿宋" w:cs="Times New Roman"/>
                <w:color w:val="auto"/>
              </w:rPr>
            </w:pPr>
          </w:p>
        </w:tc>
      </w:tr>
      <w:tr w14:paraId="269175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05F8FF05">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26</w:t>
            </w:r>
          </w:p>
        </w:tc>
        <w:tc>
          <w:tcPr>
            <w:tcW w:w="1115" w:type="pct"/>
            <w:shd w:val="clear" w:color="auto" w:fill="auto"/>
            <w:vAlign w:val="center"/>
          </w:tcPr>
          <w:p w14:paraId="3C5C129F">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苯</w:t>
            </w:r>
          </w:p>
        </w:tc>
        <w:tc>
          <w:tcPr>
            <w:tcW w:w="949" w:type="pct"/>
            <w:shd w:val="clear" w:color="auto" w:fill="auto"/>
            <w:vAlign w:val="center"/>
          </w:tcPr>
          <w:p w14:paraId="33433342">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71-43-2</w:t>
            </w:r>
          </w:p>
        </w:tc>
        <w:tc>
          <w:tcPr>
            <w:tcW w:w="817" w:type="pct"/>
            <w:shd w:val="clear" w:color="auto" w:fill="auto"/>
            <w:vAlign w:val="center"/>
          </w:tcPr>
          <w:p w14:paraId="3412281E">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4</w:t>
            </w:r>
          </w:p>
        </w:tc>
        <w:tc>
          <w:tcPr>
            <w:tcW w:w="1710" w:type="pct"/>
            <w:vMerge w:val="continue"/>
            <w:shd w:val="clear" w:color="auto" w:fill="auto"/>
            <w:vAlign w:val="center"/>
          </w:tcPr>
          <w:p w14:paraId="3799E921">
            <w:pPr>
              <w:kinsoku/>
              <w:autoSpaceDE/>
              <w:autoSpaceDN/>
              <w:snapToGrid/>
              <w:jc w:val="center"/>
              <w:textAlignment w:val="auto"/>
              <w:rPr>
                <w:rFonts w:hint="default" w:ascii="Times New Roman" w:hAnsi="Times New Roman" w:eastAsia="仿宋" w:cs="Times New Roman"/>
                <w:color w:val="auto"/>
              </w:rPr>
            </w:pPr>
          </w:p>
        </w:tc>
      </w:tr>
      <w:tr w14:paraId="6045A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3562DE06">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27</w:t>
            </w:r>
          </w:p>
        </w:tc>
        <w:tc>
          <w:tcPr>
            <w:tcW w:w="1115" w:type="pct"/>
            <w:shd w:val="clear" w:color="auto" w:fill="auto"/>
            <w:vAlign w:val="center"/>
          </w:tcPr>
          <w:p w14:paraId="2CEC5E01">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氯苯</w:t>
            </w:r>
          </w:p>
        </w:tc>
        <w:tc>
          <w:tcPr>
            <w:tcW w:w="949" w:type="pct"/>
            <w:shd w:val="clear" w:color="auto" w:fill="auto"/>
            <w:vAlign w:val="center"/>
          </w:tcPr>
          <w:p w14:paraId="02DF0D55">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108-90-7</w:t>
            </w:r>
          </w:p>
        </w:tc>
        <w:tc>
          <w:tcPr>
            <w:tcW w:w="817" w:type="pct"/>
            <w:shd w:val="clear" w:color="auto" w:fill="auto"/>
            <w:vAlign w:val="center"/>
          </w:tcPr>
          <w:p w14:paraId="420F1580">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270</w:t>
            </w:r>
          </w:p>
        </w:tc>
        <w:tc>
          <w:tcPr>
            <w:tcW w:w="1710" w:type="pct"/>
            <w:vMerge w:val="continue"/>
            <w:shd w:val="clear" w:color="auto" w:fill="auto"/>
            <w:vAlign w:val="center"/>
          </w:tcPr>
          <w:p w14:paraId="57B89C01">
            <w:pPr>
              <w:kinsoku/>
              <w:autoSpaceDE/>
              <w:autoSpaceDN/>
              <w:snapToGrid/>
              <w:jc w:val="center"/>
              <w:textAlignment w:val="auto"/>
              <w:rPr>
                <w:rFonts w:hint="default" w:ascii="Times New Roman" w:hAnsi="Times New Roman" w:eastAsia="仿宋" w:cs="Times New Roman"/>
                <w:color w:val="auto"/>
              </w:rPr>
            </w:pPr>
          </w:p>
        </w:tc>
      </w:tr>
      <w:tr w14:paraId="7D66D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6C3C94F0">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28</w:t>
            </w:r>
          </w:p>
        </w:tc>
        <w:tc>
          <w:tcPr>
            <w:tcW w:w="1115" w:type="pct"/>
            <w:shd w:val="clear" w:color="auto" w:fill="auto"/>
            <w:vAlign w:val="center"/>
          </w:tcPr>
          <w:p w14:paraId="6B2ABAA3">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1,2-二氯苯</w:t>
            </w:r>
          </w:p>
        </w:tc>
        <w:tc>
          <w:tcPr>
            <w:tcW w:w="949" w:type="pct"/>
            <w:shd w:val="clear" w:color="auto" w:fill="auto"/>
            <w:vAlign w:val="center"/>
          </w:tcPr>
          <w:p w14:paraId="6146FE5E">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95-50-1</w:t>
            </w:r>
          </w:p>
        </w:tc>
        <w:tc>
          <w:tcPr>
            <w:tcW w:w="817" w:type="pct"/>
            <w:shd w:val="clear" w:color="auto" w:fill="auto"/>
            <w:vAlign w:val="center"/>
          </w:tcPr>
          <w:p w14:paraId="7B993F6D">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560</w:t>
            </w:r>
          </w:p>
        </w:tc>
        <w:tc>
          <w:tcPr>
            <w:tcW w:w="1710" w:type="pct"/>
            <w:vMerge w:val="continue"/>
            <w:shd w:val="clear" w:color="auto" w:fill="auto"/>
            <w:vAlign w:val="center"/>
          </w:tcPr>
          <w:p w14:paraId="41232C4A">
            <w:pPr>
              <w:kinsoku/>
              <w:autoSpaceDE/>
              <w:autoSpaceDN/>
              <w:snapToGrid/>
              <w:jc w:val="center"/>
              <w:textAlignment w:val="auto"/>
              <w:rPr>
                <w:rFonts w:hint="default" w:ascii="Times New Roman" w:hAnsi="Times New Roman" w:eastAsia="仿宋" w:cs="Times New Roman"/>
                <w:color w:val="auto"/>
              </w:rPr>
            </w:pPr>
          </w:p>
        </w:tc>
      </w:tr>
      <w:tr w14:paraId="652F4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6D6F6B16">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29</w:t>
            </w:r>
          </w:p>
        </w:tc>
        <w:tc>
          <w:tcPr>
            <w:tcW w:w="1115" w:type="pct"/>
            <w:shd w:val="clear" w:color="auto" w:fill="auto"/>
            <w:vAlign w:val="center"/>
          </w:tcPr>
          <w:p w14:paraId="666C2DE4">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1,4-二氯苯</w:t>
            </w:r>
          </w:p>
        </w:tc>
        <w:tc>
          <w:tcPr>
            <w:tcW w:w="949" w:type="pct"/>
            <w:shd w:val="clear" w:color="auto" w:fill="auto"/>
            <w:vAlign w:val="center"/>
          </w:tcPr>
          <w:p w14:paraId="5F296A41">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106-46-7</w:t>
            </w:r>
          </w:p>
        </w:tc>
        <w:tc>
          <w:tcPr>
            <w:tcW w:w="817" w:type="pct"/>
            <w:shd w:val="clear" w:color="auto" w:fill="auto"/>
            <w:vAlign w:val="center"/>
          </w:tcPr>
          <w:p w14:paraId="52DE2511">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20</w:t>
            </w:r>
          </w:p>
        </w:tc>
        <w:tc>
          <w:tcPr>
            <w:tcW w:w="1710" w:type="pct"/>
            <w:vMerge w:val="continue"/>
            <w:shd w:val="clear" w:color="auto" w:fill="auto"/>
            <w:vAlign w:val="center"/>
          </w:tcPr>
          <w:p w14:paraId="2F40D4C5">
            <w:pPr>
              <w:kinsoku/>
              <w:autoSpaceDE/>
              <w:autoSpaceDN/>
              <w:snapToGrid/>
              <w:jc w:val="center"/>
              <w:textAlignment w:val="auto"/>
              <w:rPr>
                <w:rFonts w:hint="default" w:ascii="Times New Roman" w:hAnsi="Times New Roman" w:eastAsia="仿宋" w:cs="Times New Roman"/>
                <w:color w:val="auto"/>
              </w:rPr>
            </w:pPr>
          </w:p>
        </w:tc>
      </w:tr>
      <w:tr w14:paraId="050C3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6236EA4B">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30</w:t>
            </w:r>
          </w:p>
        </w:tc>
        <w:tc>
          <w:tcPr>
            <w:tcW w:w="1115" w:type="pct"/>
            <w:shd w:val="clear" w:color="auto" w:fill="auto"/>
            <w:vAlign w:val="center"/>
          </w:tcPr>
          <w:p w14:paraId="6FC72898">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乙苯</w:t>
            </w:r>
          </w:p>
        </w:tc>
        <w:tc>
          <w:tcPr>
            <w:tcW w:w="949" w:type="pct"/>
            <w:shd w:val="clear" w:color="auto" w:fill="auto"/>
            <w:vAlign w:val="center"/>
          </w:tcPr>
          <w:p w14:paraId="466D37E5">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100-41-4</w:t>
            </w:r>
          </w:p>
        </w:tc>
        <w:tc>
          <w:tcPr>
            <w:tcW w:w="817" w:type="pct"/>
            <w:shd w:val="clear" w:color="auto" w:fill="auto"/>
            <w:vAlign w:val="center"/>
          </w:tcPr>
          <w:p w14:paraId="67061C96">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28</w:t>
            </w:r>
          </w:p>
        </w:tc>
        <w:tc>
          <w:tcPr>
            <w:tcW w:w="1710" w:type="pct"/>
            <w:vMerge w:val="continue"/>
            <w:shd w:val="clear" w:color="auto" w:fill="auto"/>
            <w:vAlign w:val="center"/>
          </w:tcPr>
          <w:p w14:paraId="7083A2DF">
            <w:pPr>
              <w:kinsoku/>
              <w:autoSpaceDE/>
              <w:autoSpaceDN/>
              <w:snapToGrid/>
              <w:jc w:val="center"/>
              <w:textAlignment w:val="auto"/>
              <w:rPr>
                <w:rFonts w:hint="default" w:ascii="Times New Roman" w:hAnsi="Times New Roman" w:eastAsia="仿宋" w:cs="Times New Roman"/>
                <w:color w:val="auto"/>
              </w:rPr>
            </w:pPr>
          </w:p>
        </w:tc>
      </w:tr>
      <w:tr w14:paraId="52BDE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400AC048">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31</w:t>
            </w:r>
          </w:p>
        </w:tc>
        <w:tc>
          <w:tcPr>
            <w:tcW w:w="1115" w:type="pct"/>
            <w:shd w:val="clear" w:color="auto" w:fill="auto"/>
            <w:vAlign w:val="center"/>
          </w:tcPr>
          <w:p w14:paraId="777F729A">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苯乙烯</w:t>
            </w:r>
          </w:p>
        </w:tc>
        <w:tc>
          <w:tcPr>
            <w:tcW w:w="949" w:type="pct"/>
            <w:shd w:val="clear" w:color="auto" w:fill="auto"/>
            <w:vAlign w:val="center"/>
          </w:tcPr>
          <w:p w14:paraId="6F5C8616">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100-42-5</w:t>
            </w:r>
          </w:p>
        </w:tc>
        <w:tc>
          <w:tcPr>
            <w:tcW w:w="817" w:type="pct"/>
            <w:shd w:val="clear" w:color="auto" w:fill="auto"/>
            <w:vAlign w:val="center"/>
          </w:tcPr>
          <w:p w14:paraId="4B90FBD8">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1290</w:t>
            </w:r>
          </w:p>
        </w:tc>
        <w:tc>
          <w:tcPr>
            <w:tcW w:w="1710" w:type="pct"/>
            <w:vMerge w:val="continue"/>
            <w:shd w:val="clear" w:color="auto" w:fill="auto"/>
            <w:vAlign w:val="center"/>
          </w:tcPr>
          <w:p w14:paraId="141A5F12">
            <w:pPr>
              <w:kinsoku/>
              <w:autoSpaceDE/>
              <w:autoSpaceDN/>
              <w:snapToGrid/>
              <w:jc w:val="center"/>
              <w:textAlignment w:val="auto"/>
              <w:rPr>
                <w:rFonts w:hint="default" w:ascii="Times New Roman" w:hAnsi="Times New Roman" w:eastAsia="仿宋" w:cs="Times New Roman"/>
                <w:color w:val="auto"/>
              </w:rPr>
            </w:pPr>
          </w:p>
        </w:tc>
      </w:tr>
      <w:tr w14:paraId="33BFB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59847CED">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32</w:t>
            </w:r>
          </w:p>
        </w:tc>
        <w:tc>
          <w:tcPr>
            <w:tcW w:w="1115" w:type="pct"/>
            <w:shd w:val="clear" w:color="auto" w:fill="auto"/>
            <w:vAlign w:val="center"/>
          </w:tcPr>
          <w:p w14:paraId="4AB981D7">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甲苯</w:t>
            </w:r>
          </w:p>
        </w:tc>
        <w:tc>
          <w:tcPr>
            <w:tcW w:w="949" w:type="pct"/>
            <w:shd w:val="clear" w:color="auto" w:fill="auto"/>
            <w:vAlign w:val="center"/>
          </w:tcPr>
          <w:p w14:paraId="49B6E49B">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108-88-3</w:t>
            </w:r>
          </w:p>
        </w:tc>
        <w:tc>
          <w:tcPr>
            <w:tcW w:w="817" w:type="pct"/>
            <w:shd w:val="clear" w:color="auto" w:fill="auto"/>
            <w:vAlign w:val="center"/>
          </w:tcPr>
          <w:p w14:paraId="086CDD70">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1200</w:t>
            </w:r>
          </w:p>
        </w:tc>
        <w:tc>
          <w:tcPr>
            <w:tcW w:w="1710" w:type="pct"/>
            <w:vMerge w:val="continue"/>
            <w:shd w:val="clear" w:color="auto" w:fill="auto"/>
            <w:vAlign w:val="center"/>
          </w:tcPr>
          <w:p w14:paraId="5377BDF8">
            <w:pPr>
              <w:kinsoku/>
              <w:autoSpaceDE/>
              <w:autoSpaceDN/>
              <w:snapToGrid/>
              <w:jc w:val="center"/>
              <w:textAlignment w:val="auto"/>
              <w:rPr>
                <w:rFonts w:hint="default" w:ascii="Times New Roman" w:hAnsi="Times New Roman" w:eastAsia="仿宋" w:cs="Times New Roman"/>
                <w:color w:val="auto"/>
              </w:rPr>
            </w:pPr>
          </w:p>
        </w:tc>
      </w:tr>
      <w:tr w14:paraId="797D0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5D5CA758">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33</w:t>
            </w:r>
          </w:p>
        </w:tc>
        <w:tc>
          <w:tcPr>
            <w:tcW w:w="1115" w:type="pct"/>
            <w:shd w:val="clear" w:color="auto" w:fill="auto"/>
            <w:vAlign w:val="center"/>
          </w:tcPr>
          <w:p w14:paraId="468CD1F4">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间二甲苯+对二甲苯</w:t>
            </w:r>
          </w:p>
        </w:tc>
        <w:tc>
          <w:tcPr>
            <w:tcW w:w="949" w:type="pct"/>
            <w:shd w:val="clear" w:color="auto" w:fill="auto"/>
            <w:vAlign w:val="center"/>
          </w:tcPr>
          <w:p w14:paraId="235F6891">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108-38-3</w:t>
            </w:r>
          </w:p>
          <w:p w14:paraId="1E3B3DDF">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106-42-3</w:t>
            </w:r>
          </w:p>
        </w:tc>
        <w:tc>
          <w:tcPr>
            <w:tcW w:w="817" w:type="pct"/>
            <w:shd w:val="clear" w:color="auto" w:fill="auto"/>
            <w:vAlign w:val="center"/>
          </w:tcPr>
          <w:p w14:paraId="61C15A84">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570</w:t>
            </w:r>
          </w:p>
        </w:tc>
        <w:tc>
          <w:tcPr>
            <w:tcW w:w="1710" w:type="pct"/>
            <w:vMerge w:val="continue"/>
            <w:shd w:val="clear" w:color="auto" w:fill="auto"/>
            <w:vAlign w:val="center"/>
          </w:tcPr>
          <w:p w14:paraId="51BA773C">
            <w:pPr>
              <w:kinsoku/>
              <w:autoSpaceDE/>
              <w:autoSpaceDN/>
              <w:snapToGrid/>
              <w:jc w:val="center"/>
              <w:textAlignment w:val="auto"/>
              <w:rPr>
                <w:rFonts w:hint="default" w:ascii="Times New Roman" w:hAnsi="Times New Roman" w:eastAsia="仿宋" w:cs="Times New Roman"/>
                <w:color w:val="auto"/>
              </w:rPr>
            </w:pPr>
          </w:p>
        </w:tc>
      </w:tr>
      <w:tr w14:paraId="33CFC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gridSpan w:val="2"/>
            <w:shd w:val="clear" w:color="auto" w:fill="auto"/>
            <w:vAlign w:val="center"/>
          </w:tcPr>
          <w:p w14:paraId="4C8BDC8B">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34</w:t>
            </w:r>
          </w:p>
        </w:tc>
        <w:tc>
          <w:tcPr>
            <w:tcW w:w="1115" w:type="pct"/>
            <w:shd w:val="clear" w:color="auto" w:fill="auto"/>
            <w:vAlign w:val="center"/>
          </w:tcPr>
          <w:p w14:paraId="2C98A6A0">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邻二甲苯</w:t>
            </w:r>
          </w:p>
        </w:tc>
        <w:tc>
          <w:tcPr>
            <w:tcW w:w="949" w:type="pct"/>
            <w:shd w:val="clear" w:color="auto" w:fill="auto"/>
            <w:vAlign w:val="center"/>
          </w:tcPr>
          <w:p w14:paraId="773D11B4">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95-47-6</w:t>
            </w:r>
          </w:p>
        </w:tc>
        <w:tc>
          <w:tcPr>
            <w:tcW w:w="817" w:type="pct"/>
            <w:shd w:val="clear" w:color="auto" w:fill="auto"/>
            <w:vAlign w:val="center"/>
          </w:tcPr>
          <w:p w14:paraId="7CDD0E76">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640</w:t>
            </w:r>
          </w:p>
        </w:tc>
        <w:tc>
          <w:tcPr>
            <w:tcW w:w="1710" w:type="pct"/>
            <w:vMerge w:val="continue"/>
            <w:shd w:val="clear" w:color="auto" w:fill="auto"/>
            <w:vAlign w:val="center"/>
          </w:tcPr>
          <w:p w14:paraId="4780D09C">
            <w:pPr>
              <w:kinsoku/>
              <w:autoSpaceDE/>
              <w:autoSpaceDN/>
              <w:snapToGrid/>
              <w:jc w:val="center"/>
              <w:textAlignment w:val="auto"/>
              <w:rPr>
                <w:rFonts w:hint="default" w:ascii="Times New Roman" w:hAnsi="Times New Roman" w:eastAsia="仿宋" w:cs="Times New Roman"/>
                <w:color w:val="auto"/>
              </w:rPr>
            </w:pPr>
          </w:p>
        </w:tc>
      </w:tr>
      <w:tr w14:paraId="05ABC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shd w:val="clear" w:color="auto" w:fill="auto"/>
            <w:vAlign w:val="center"/>
          </w:tcPr>
          <w:p w14:paraId="443A250A">
            <w:pPr>
              <w:kinsoku/>
              <w:autoSpaceDE/>
              <w:autoSpaceDN/>
              <w:snapToGrid/>
              <w:jc w:val="center"/>
              <w:textAlignment w:val="auto"/>
              <w:rPr>
                <w:rFonts w:hint="default" w:ascii="Times New Roman" w:hAnsi="Times New Roman" w:eastAsia="仿宋" w:cs="Times New Roman"/>
                <w:b/>
                <w:color w:val="auto"/>
              </w:rPr>
            </w:pPr>
            <w:r>
              <w:rPr>
                <w:rFonts w:hint="default" w:ascii="Times New Roman" w:hAnsi="Times New Roman" w:eastAsia="仿宋" w:cs="Times New Roman"/>
                <w:b/>
                <w:color w:val="auto"/>
              </w:rPr>
              <w:t>半挥发性有机物</w:t>
            </w:r>
          </w:p>
        </w:tc>
      </w:tr>
      <w:tr w14:paraId="04F3A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2B0D4F6C">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35</w:t>
            </w:r>
          </w:p>
        </w:tc>
        <w:tc>
          <w:tcPr>
            <w:tcW w:w="1119" w:type="pct"/>
            <w:gridSpan w:val="2"/>
            <w:shd w:val="clear" w:color="auto" w:fill="auto"/>
            <w:vAlign w:val="center"/>
          </w:tcPr>
          <w:p w14:paraId="38ACB5A1">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硝基苯</w:t>
            </w:r>
          </w:p>
        </w:tc>
        <w:tc>
          <w:tcPr>
            <w:tcW w:w="949" w:type="pct"/>
            <w:shd w:val="clear" w:color="auto" w:fill="auto"/>
            <w:vAlign w:val="center"/>
          </w:tcPr>
          <w:p w14:paraId="54C0C1B2">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98-95-3</w:t>
            </w:r>
          </w:p>
        </w:tc>
        <w:tc>
          <w:tcPr>
            <w:tcW w:w="817" w:type="pct"/>
            <w:shd w:val="clear" w:color="auto" w:fill="auto"/>
            <w:vAlign w:val="center"/>
          </w:tcPr>
          <w:p w14:paraId="01D3AC33">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76</w:t>
            </w:r>
          </w:p>
        </w:tc>
        <w:tc>
          <w:tcPr>
            <w:tcW w:w="1710" w:type="pct"/>
            <w:vMerge w:val="restart"/>
            <w:shd w:val="clear" w:color="auto" w:fill="auto"/>
            <w:vAlign w:val="center"/>
          </w:tcPr>
          <w:p w14:paraId="3081CE89">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《土壤环境质量建设用地土壤污染风险管控标准（试行）》(GB36600-2018)</w:t>
            </w:r>
          </w:p>
          <w:p w14:paraId="7EDD257A">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（第</w:t>
            </w:r>
            <w:r>
              <w:rPr>
                <w:rFonts w:hint="default" w:ascii="Times New Roman" w:hAnsi="Times New Roman" w:eastAsia="仿宋" w:cs="Times New Roman"/>
                <w:color w:val="auto"/>
                <w:lang w:eastAsia="zh-CN"/>
              </w:rPr>
              <w:t>二</w:t>
            </w:r>
            <w:r>
              <w:rPr>
                <w:rFonts w:hint="default" w:ascii="Times New Roman" w:hAnsi="Times New Roman" w:eastAsia="仿宋" w:cs="Times New Roman"/>
                <w:color w:val="auto"/>
              </w:rPr>
              <w:t>类用地）</w:t>
            </w:r>
          </w:p>
        </w:tc>
      </w:tr>
      <w:tr w14:paraId="3DB61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11D9C131">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36</w:t>
            </w:r>
          </w:p>
        </w:tc>
        <w:tc>
          <w:tcPr>
            <w:tcW w:w="1119" w:type="pct"/>
            <w:gridSpan w:val="2"/>
            <w:shd w:val="clear" w:color="auto" w:fill="auto"/>
            <w:vAlign w:val="center"/>
          </w:tcPr>
          <w:p w14:paraId="69D53CE1">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苯胺</w:t>
            </w:r>
          </w:p>
        </w:tc>
        <w:tc>
          <w:tcPr>
            <w:tcW w:w="949" w:type="pct"/>
            <w:shd w:val="clear" w:color="auto" w:fill="auto"/>
            <w:vAlign w:val="center"/>
          </w:tcPr>
          <w:p w14:paraId="348D79E7">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62-53-3</w:t>
            </w:r>
          </w:p>
        </w:tc>
        <w:tc>
          <w:tcPr>
            <w:tcW w:w="817" w:type="pct"/>
            <w:shd w:val="clear" w:color="auto" w:fill="auto"/>
            <w:vAlign w:val="center"/>
          </w:tcPr>
          <w:p w14:paraId="328A578E">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260</w:t>
            </w:r>
          </w:p>
        </w:tc>
        <w:tc>
          <w:tcPr>
            <w:tcW w:w="1710" w:type="pct"/>
            <w:vMerge w:val="continue"/>
            <w:shd w:val="clear" w:color="auto" w:fill="auto"/>
            <w:vAlign w:val="center"/>
          </w:tcPr>
          <w:p w14:paraId="004DA4C0">
            <w:pPr>
              <w:kinsoku/>
              <w:autoSpaceDE/>
              <w:autoSpaceDN/>
              <w:snapToGrid/>
              <w:jc w:val="center"/>
              <w:textAlignment w:val="auto"/>
              <w:rPr>
                <w:rFonts w:hint="default" w:ascii="Times New Roman" w:hAnsi="Times New Roman" w:eastAsia="仿宋" w:cs="Times New Roman"/>
                <w:color w:val="auto"/>
              </w:rPr>
            </w:pPr>
          </w:p>
        </w:tc>
      </w:tr>
      <w:tr w14:paraId="5A441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0E624203">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37</w:t>
            </w:r>
          </w:p>
        </w:tc>
        <w:tc>
          <w:tcPr>
            <w:tcW w:w="1119" w:type="pct"/>
            <w:gridSpan w:val="2"/>
            <w:shd w:val="clear" w:color="auto" w:fill="auto"/>
            <w:vAlign w:val="center"/>
          </w:tcPr>
          <w:p w14:paraId="6A8B200A">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2-氯酚</w:t>
            </w:r>
          </w:p>
        </w:tc>
        <w:tc>
          <w:tcPr>
            <w:tcW w:w="949" w:type="pct"/>
            <w:shd w:val="clear" w:color="auto" w:fill="auto"/>
            <w:vAlign w:val="center"/>
          </w:tcPr>
          <w:p w14:paraId="76590D40">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95-57-8</w:t>
            </w:r>
          </w:p>
        </w:tc>
        <w:tc>
          <w:tcPr>
            <w:tcW w:w="817" w:type="pct"/>
            <w:shd w:val="clear" w:color="auto" w:fill="auto"/>
            <w:vAlign w:val="center"/>
          </w:tcPr>
          <w:p w14:paraId="515E467C">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2256</w:t>
            </w:r>
          </w:p>
        </w:tc>
        <w:tc>
          <w:tcPr>
            <w:tcW w:w="1710" w:type="pct"/>
            <w:vMerge w:val="continue"/>
            <w:shd w:val="clear" w:color="auto" w:fill="auto"/>
            <w:vAlign w:val="center"/>
          </w:tcPr>
          <w:p w14:paraId="28C2F52A">
            <w:pPr>
              <w:kinsoku/>
              <w:autoSpaceDE/>
              <w:autoSpaceDN/>
              <w:snapToGrid/>
              <w:jc w:val="center"/>
              <w:textAlignment w:val="auto"/>
              <w:rPr>
                <w:rFonts w:hint="default" w:ascii="Times New Roman" w:hAnsi="Times New Roman" w:eastAsia="仿宋" w:cs="Times New Roman"/>
                <w:color w:val="auto"/>
              </w:rPr>
            </w:pPr>
          </w:p>
        </w:tc>
      </w:tr>
      <w:tr w14:paraId="08827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016296AF">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38</w:t>
            </w:r>
          </w:p>
        </w:tc>
        <w:tc>
          <w:tcPr>
            <w:tcW w:w="1119" w:type="pct"/>
            <w:gridSpan w:val="2"/>
            <w:shd w:val="clear" w:color="auto" w:fill="auto"/>
            <w:vAlign w:val="center"/>
          </w:tcPr>
          <w:p w14:paraId="3E3B65BB">
            <w:pPr>
              <w:kinsoku/>
              <w:overflowPunct w:val="0"/>
              <w:topLinePunct/>
              <w:autoSpaceDE/>
              <w:autoSpaceDN/>
              <w:jc w:val="center"/>
              <w:rPr>
                <w:rFonts w:hint="default" w:ascii="Times New Roman" w:hAnsi="Times New Roman" w:eastAsia="仿宋" w:cs="Times New Roman"/>
                <w:color w:val="auto"/>
              </w:rPr>
            </w:pPr>
            <w:r>
              <w:rPr>
                <w:rFonts w:hint="default" w:ascii="Times New Roman" w:hAnsi="Times New Roman" w:eastAsia="仿宋" w:cs="Times New Roman"/>
                <w:color w:val="auto"/>
                <w:spacing w:val="-9"/>
                <w:lang w:eastAsia="zh-CN"/>
              </w:rPr>
              <w:t>苯并[a]蒽</w:t>
            </w:r>
          </w:p>
        </w:tc>
        <w:tc>
          <w:tcPr>
            <w:tcW w:w="949" w:type="pct"/>
            <w:shd w:val="clear" w:color="auto" w:fill="auto"/>
            <w:vAlign w:val="center"/>
          </w:tcPr>
          <w:p w14:paraId="07BA8C95">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56-55-3</w:t>
            </w:r>
          </w:p>
        </w:tc>
        <w:tc>
          <w:tcPr>
            <w:tcW w:w="817" w:type="pct"/>
            <w:shd w:val="clear" w:color="auto" w:fill="auto"/>
            <w:vAlign w:val="center"/>
          </w:tcPr>
          <w:p w14:paraId="1AAFE04F">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15</w:t>
            </w:r>
          </w:p>
        </w:tc>
        <w:tc>
          <w:tcPr>
            <w:tcW w:w="1710" w:type="pct"/>
            <w:vMerge w:val="continue"/>
            <w:shd w:val="clear" w:color="auto" w:fill="auto"/>
            <w:vAlign w:val="center"/>
          </w:tcPr>
          <w:p w14:paraId="683D08AB">
            <w:pPr>
              <w:kinsoku/>
              <w:autoSpaceDE/>
              <w:autoSpaceDN/>
              <w:snapToGrid/>
              <w:jc w:val="center"/>
              <w:textAlignment w:val="auto"/>
              <w:rPr>
                <w:rFonts w:hint="default" w:ascii="Times New Roman" w:hAnsi="Times New Roman" w:eastAsia="仿宋" w:cs="Times New Roman"/>
                <w:color w:val="auto"/>
              </w:rPr>
            </w:pPr>
          </w:p>
        </w:tc>
      </w:tr>
      <w:tr w14:paraId="549F3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1110FCB5">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39</w:t>
            </w:r>
          </w:p>
        </w:tc>
        <w:tc>
          <w:tcPr>
            <w:tcW w:w="1119" w:type="pct"/>
            <w:gridSpan w:val="2"/>
            <w:shd w:val="clear" w:color="auto" w:fill="auto"/>
            <w:vAlign w:val="center"/>
          </w:tcPr>
          <w:p w14:paraId="53BB7901">
            <w:pPr>
              <w:kinsoku/>
              <w:overflowPunct w:val="0"/>
              <w:topLinePunct/>
              <w:autoSpaceDE/>
              <w:autoSpaceDN/>
              <w:jc w:val="center"/>
              <w:rPr>
                <w:rFonts w:hint="default" w:ascii="Times New Roman" w:hAnsi="Times New Roman" w:eastAsia="仿宋" w:cs="Times New Roman"/>
                <w:color w:val="auto"/>
              </w:rPr>
            </w:pPr>
            <w:r>
              <w:rPr>
                <w:rFonts w:hint="default" w:ascii="Times New Roman" w:hAnsi="Times New Roman" w:eastAsia="仿宋" w:cs="Times New Roman"/>
                <w:color w:val="auto"/>
                <w:spacing w:val="-9"/>
                <w:lang w:eastAsia="zh-CN"/>
              </w:rPr>
              <w:t>苯并[a]芘</w:t>
            </w:r>
          </w:p>
        </w:tc>
        <w:tc>
          <w:tcPr>
            <w:tcW w:w="949" w:type="pct"/>
            <w:shd w:val="clear" w:color="auto" w:fill="auto"/>
            <w:vAlign w:val="center"/>
          </w:tcPr>
          <w:p w14:paraId="5A1DFF9E">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50-32-8</w:t>
            </w:r>
          </w:p>
        </w:tc>
        <w:tc>
          <w:tcPr>
            <w:tcW w:w="817" w:type="pct"/>
            <w:shd w:val="clear" w:color="auto" w:fill="auto"/>
            <w:vAlign w:val="center"/>
          </w:tcPr>
          <w:p w14:paraId="4BE42B96">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1.5</w:t>
            </w:r>
          </w:p>
        </w:tc>
        <w:tc>
          <w:tcPr>
            <w:tcW w:w="1710" w:type="pct"/>
            <w:vMerge w:val="continue"/>
            <w:shd w:val="clear" w:color="auto" w:fill="auto"/>
            <w:vAlign w:val="center"/>
          </w:tcPr>
          <w:p w14:paraId="0B68F582">
            <w:pPr>
              <w:kinsoku/>
              <w:autoSpaceDE/>
              <w:autoSpaceDN/>
              <w:snapToGrid/>
              <w:jc w:val="center"/>
              <w:textAlignment w:val="auto"/>
              <w:rPr>
                <w:rFonts w:hint="default" w:ascii="Times New Roman" w:hAnsi="Times New Roman" w:eastAsia="仿宋" w:cs="Times New Roman"/>
                <w:color w:val="auto"/>
              </w:rPr>
            </w:pPr>
          </w:p>
        </w:tc>
      </w:tr>
      <w:tr w14:paraId="667F8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7A465A70">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40</w:t>
            </w:r>
          </w:p>
        </w:tc>
        <w:tc>
          <w:tcPr>
            <w:tcW w:w="1119" w:type="pct"/>
            <w:gridSpan w:val="2"/>
            <w:shd w:val="clear" w:color="auto" w:fill="auto"/>
            <w:vAlign w:val="center"/>
          </w:tcPr>
          <w:p w14:paraId="78087A23">
            <w:pPr>
              <w:kinsoku/>
              <w:overflowPunct w:val="0"/>
              <w:topLinePunct/>
              <w:autoSpaceDE/>
              <w:autoSpaceDN/>
              <w:jc w:val="center"/>
              <w:rPr>
                <w:rFonts w:hint="default" w:ascii="Times New Roman" w:hAnsi="Times New Roman" w:eastAsia="仿宋" w:cs="Times New Roman"/>
                <w:color w:val="auto"/>
              </w:rPr>
            </w:pPr>
            <w:r>
              <w:rPr>
                <w:rFonts w:hint="default" w:ascii="Times New Roman" w:hAnsi="Times New Roman" w:eastAsia="仿宋" w:cs="Times New Roman"/>
                <w:color w:val="auto"/>
                <w:spacing w:val="-9"/>
                <w:lang w:eastAsia="zh-CN"/>
              </w:rPr>
              <w:t>苯并[b]荧蒽</w:t>
            </w:r>
          </w:p>
        </w:tc>
        <w:tc>
          <w:tcPr>
            <w:tcW w:w="949" w:type="pct"/>
            <w:shd w:val="clear" w:color="auto" w:fill="auto"/>
            <w:vAlign w:val="center"/>
          </w:tcPr>
          <w:p w14:paraId="78428FDD">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205-99-2</w:t>
            </w:r>
          </w:p>
        </w:tc>
        <w:tc>
          <w:tcPr>
            <w:tcW w:w="817" w:type="pct"/>
            <w:shd w:val="clear" w:color="auto" w:fill="auto"/>
            <w:vAlign w:val="center"/>
          </w:tcPr>
          <w:p w14:paraId="2C961AEE">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15</w:t>
            </w:r>
          </w:p>
        </w:tc>
        <w:tc>
          <w:tcPr>
            <w:tcW w:w="1710" w:type="pct"/>
            <w:vMerge w:val="continue"/>
            <w:shd w:val="clear" w:color="auto" w:fill="auto"/>
            <w:vAlign w:val="center"/>
          </w:tcPr>
          <w:p w14:paraId="1593E9DD">
            <w:pPr>
              <w:kinsoku/>
              <w:autoSpaceDE/>
              <w:autoSpaceDN/>
              <w:snapToGrid/>
              <w:jc w:val="center"/>
              <w:textAlignment w:val="auto"/>
              <w:rPr>
                <w:rFonts w:hint="default" w:ascii="Times New Roman" w:hAnsi="Times New Roman" w:eastAsia="仿宋" w:cs="Times New Roman"/>
                <w:color w:val="auto"/>
              </w:rPr>
            </w:pPr>
          </w:p>
        </w:tc>
      </w:tr>
      <w:tr w14:paraId="176B0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46A21E7B">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41</w:t>
            </w:r>
          </w:p>
        </w:tc>
        <w:tc>
          <w:tcPr>
            <w:tcW w:w="1119" w:type="pct"/>
            <w:gridSpan w:val="2"/>
            <w:shd w:val="clear" w:color="auto" w:fill="auto"/>
            <w:vAlign w:val="center"/>
          </w:tcPr>
          <w:p w14:paraId="54783172">
            <w:pPr>
              <w:kinsoku/>
              <w:overflowPunct w:val="0"/>
              <w:topLinePunct/>
              <w:autoSpaceDE/>
              <w:autoSpaceDN/>
              <w:jc w:val="center"/>
              <w:rPr>
                <w:rFonts w:hint="default" w:ascii="Times New Roman" w:hAnsi="Times New Roman" w:eastAsia="仿宋" w:cs="Times New Roman"/>
                <w:color w:val="auto"/>
              </w:rPr>
            </w:pPr>
            <w:r>
              <w:rPr>
                <w:rFonts w:hint="default" w:ascii="Times New Roman" w:hAnsi="Times New Roman" w:eastAsia="仿宋" w:cs="Times New Roman"/>
                <w:color w:val="auto"/>
                <w:spacing w:val="-9"/>
                <w:lang w:eastAsia="zh-CN"/>
              </w:rPr>
              <w:t>苯并[k]荧蒽</w:t>
            </w:r>
          </w:p>
        </w:tc>
        <w:tc>
          <w:tcPr>
            <w:tcW w:w="949" w:type="pct"/>
            <w:shd w:val="clear" w:color="auto" w:fill="auto"/>
            <w:vAlign w:val="center"/>
          </w:tcPr>
          <w:p w14:paraId="220DB74F">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207-08-9</w:t>
            </w:r>
          </w:p>
        </w:tc>
        <w:tc>
          <w:tcPr>
            <w:tcW w:w="817" w:type="pct"/>
            <w:shd w:val="clear" w:color="auto" w:fill="auto"/>
            <w:vAlign w:val="center"/>
          </w:tcPr>
          <w:p w14:paraId="033E23D3">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151</w:t>
            </w:r>
          </w:p>
        </w:tc>
        <w:tc>
          <w:tcPr>
            <w:tcW w:w="1710" w:type="pct"/>
            <w:vMerge w:val="continue"/>
            <w:shd w:val="clear" w:color="auto" w:fill="auto"/>
            <w:vAlign w:val="center"/>
          </w:tcPr>
          <w:p w14:paraId="01F10C21">
            <w:pPr>
              <w:kinsoku/>
              <w:autoSpaceDE/>
              <w:autoSpaceDN/>
              <w:snapToGrid/>
              <w:jc w:val="center"/>
              <w:textAlignment w:val="auto"/>
              <w:rPr>
                <w:rFonts w:hint="default" w:ascii="Times New Roman" w:hAnsi="Times New Roman" w:eastAsia="仿宋" w:cs="Times New Roman"/>
                <w:color w:val="auto"/>
              </w:rPr>
            </w:pPr>
          </w:p>
        </w:tc>
      </w:tr>
      <w:tr w14:paraId="0CC592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7F71B768">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42</w:t>
            </w:r>
          </w:p>
        </w:tc>
        <w:tc>
          <w:tcPr>
            <w:tcW w:w="1119" w:type="pct"/>
            <w:gridSpan w:val="2"/>
            <w:shd w:val="clear" w:color="auto" w:fill="auto"/>
            <w:vAlign w:val="center"/>
          </w:tcPr>
          <w:p w14:paraId="489603AA">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䓛</w:t>
            </w:r>
          </w:p>
        </w:tc>
        <w:tc>
          <w:tcPr>
            <w:tcW w:w="949" w:type="pct"/>
            <w:shd w:val="clear" w:color="auto" w:fill="auto"/>
            <w:vAlign w:val="center"/>
          </w:tcPr>
          <w:p w14:paraId="3E177457">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218-01-9</w:t>
            </w:r>
          </w:p>
        </w:tc>
        <w:tc>
          <w:tcPr>
            <w:tcW w:w="817" w:type="pct"/>
            <w:shd w:val="clear" w:color="auto" w:fill="auto"/>
            <w:vAlign w:val="center"/>
          </w:tcPr>
          <w:p w14:paraId="24D6F072">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1293</w:t>
            </w:r>
          </w:p>
        </w:tc>
        <w:tc>
          <w:tcPr>
            <w:tcW w:w="1710" w:type="pct"/>
            <w:vMerge w:val="continue"/>
            <w:shd w:val="clear" w:color="auto" w:fill="auto"/>
            <w:vAlign w:val="center"/>
          </w:tcPr>
          <w:p w14:paraId="64D2F9C9">
            <w:pPr>
              <w:kinsoku/>
              <w:autoSpaceDE/>
              <w:autoSpaceDN/>
              <w:snapToGrid/>
              <w:jc w:val="center"/>
              <w:textAlignment w:val="auto"/>
              <w:rPr>
                <w:rFonts w:hint="default" w:ascii="Times New Roman" w:hAnsi="Times New Roman" w:eastAsia="仿宋" w:cs="Times New Roman"/>
                <w:color w:val="auto"/>
              </w:rPr>
            </w:pPr>
          </w:p>
        </w:tc>
      </w:tr>
      <w:tr w14:paraId="34C90F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12A34295">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43</w:t>
            </w:r>
          </w:p>
        </w:tc>
        <w:tc>
          <w:tcPr>
            <w:tcW w:w="1119" w:type="pct"/>
            <w:gridSpan w:val="2"/>
            <w:shd w:val="clear" w:color="auto" w:fill="auto"/>
            <w:vAlign w:val="center"/>
          </w:tcPr>
          <w:p w14:paraId="1C3DFA7D">
            <w:pPr>
              <w:kinsoku/>
              <w:overflowPunct w:val="0"/>
              <w:topLinePunct/>
              <w:autoSpaceDE/>
              <w:autoSpaceDN/>
              <w:jc w:val="center"/>
              <w:rPr>
                <w:rFonts w:hint="default" w:ascii="Times New Roman" w:hAnsi="Times New Roman" w:eastAsia="仿宋" w:cs="Times New Roman"/>
                <w:color w:val="auto"/>
              </w:rPr>
            </w:pPr>
            <w:r>
              <w:rPr>
                <w:rFonts w:hint="default" w:ascii="Times New Roman" w:hAnsi="Times New Roman" w:eastAsia="仿宋" w:cs="Times New Roman"/>
                <w:color w:val="auto"/>
                <w:spacing w:val="-9"/>
                <w:lang w:eastAsia="zh-CN"/>
              </w:rPr>
              <w:t>二苯并[a,h]蒽</w:t>
            </w:r>
          </w:p>
        </w:tc>
        <w:tc>
          <w:tcPr>
            <w:tcW w:w="949" w:type="pct"/>
            <w:shd w:val="clear" w:color="auto" w:fill="auto"/>
            <w:vAlign w:val="center"/>
          </w:tcPr>
          <w:p w14:paraId="10BF5545">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53-70-3</w:t>
            </w:r>
          </w:p>
        </w:tc>
        <w:tc>
          <w:tcPr>
            <w:tcW w:w="817" w:type="pct"/>
            <w:shd w:val="clear" w:color="auto" w:fill="auto"/>
            <w:vAlign w:val="center"/>
          </w:tcPr>
          <w:p w14:paraId="1736F2F6">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1.5</w:t>
            </w:r>
          </w:p>
        </w:tc>
        <w:tc>
          <w:tcPr>
            <w:tcW w:w="1710" w:type="pct"/>
            <w:vMerge w:val="continue"/>
            <w:shd w:val="clear" w:color="auto" w:fill="auto"/>
            <w:vAlign w:val="center"/>
          </w:tcPr>
          <w:p w14:paraId="3213985E">
            <w:pPr>
              <w:kinsoku/>
              <w:autoSpaceDE/>
              <w:autoSpaceDN/>
              <w:snapToGrid/>
              <w:jc w:val="center"/>
              <w:textAlignment w:val="auto"/>
              <w:rPr>
                <w:rFonts w:hint="default" w:ascii="Times New Roman" w:hAnsi="Times New Roman" w:eastAsia="仿宋" w:cs="Times New Roman"/>
                <w:color w:val="auto"/>
              </w:rPr>
            </w:pPr>
          </w:p>
        </w:tc>
      </w:tr>
      <w:tr w14:paraId="70D87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20587164">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44</w:t>
            </w:r>
          </w:p>
        </w:tc>
        <w:tc>
          <w:tcPr>
            <w:tcW w:w="1119" w:type="pct"/>
            <w:gridSpan w:val="2"/>
            <w:shd w:val="clear" w:color="auto" w:fill="auto"/>
            <w:vAlign w:val="center"/>
          </w:tcPr>
          <w:p w14:paraId="7C02D1B5">
            <w:pPr>
              <w:kinsoku/>
              <w:overflowPunct w:val="0"/>
              <w:topLinePunct/>
              <w:autoSpaceDE/>
              <w:autoSpaceDN/>
              <w:jc w:val="center"/>
              <w:rPr>
                <w:rFonts w:hint="default" w:ascii="Times New Roman" w:hAnsi="Times New Roman" w:eastAsia="仿宋" w:cs="Times New Roman"/>
                <w:color w:val="auto"/>
              </w:rPr>
            </w:pPr>
            <w:r>
              <w:rPr>
                <w:rFonts w:hint="default" w:ascii="Times New Roman" w:hAnsi="Times New Roman" w:eastAsia="仿宋" w:cs="Times New Roman"/>
                <w:color w:val="auto"/>
                <w:spacing w:val="-9"/>
                <w:lang w:eastAsia="zh-CN"/>
              </w:rPr>
              <w:t>茚并[1,2,3-cd]芘</w:t>
            </w:r>
          </w:p>
        </w:tc>
        <w:tc>
          <w:tcPr>
            <w:tcW w:w="949" w:type="pct"/>
            <w:shd w:val="clear" w:color="auto" w:fill="auto"/>
            <w:vAlign w:val="center"/>
          </w:tcPr>
          <w:p w14:paraId="1333F86E">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193-39-5</w:t>
            </w:r>
          </w:p>
        </w:tc>
        <w:tc>
          <w:tcPr>
            <w:tcW w:w="817" w:type="pct"/>
            <w:shd w:val="clear" w:color="auto" w:fill="auto"/>
            <w:vAlign w:val="center"/>
          </w:tcPr>
          <w:p w14:paraId="4BCE4830">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15</w:t>
            </w:r>
          </w:p>
        </w:tc>
        <w:tc>
          <w:tcPr>
            <w:tcW w:w="1710" w:type="pct"/>
            <w:vMerge w:val="continue"/>
            <w:shd w:val="clear" w:color="auto" w:fill="auto"/>
            <w:vAlign w:val="center"/>
          </w:tcPr>
          <w:p w14:paraId="43B42411">
            <w:pPr>
              <w:kinsoku/>
              <w:autoSpaceDE/>
              <w:autoSpaceDN/>
              <w:snapToGrid/>
              <w:jc w:val="center"/>
              <w:textAlignment w:val="auto"/>
              <w:rPr>
                <w:rFonts w:hint="default" w:ascii="Times New Roman" w:hAnsi="Times New Roman" w:eastAsia="仿宋" w:cs="Times New Roman"/>
                <w:color w:val="auto"/>
              </w:rPr>
            </w:pPr>
          </w:p>
        </w:tc>
      </w:tr>
      <w:tr w14:paraId="0DDED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3B4F42D1">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45</w:t>
            </w:r>
          </w:p>
        </w:tc>
        <w:tc>
          <w:tcPr>
            <w:tcW w:w="1119" w:type="pct"/>
            <w:gridSpan w:val="2"/>
            <w:shd w:val="clear" w:color="auto" w:fill="auto"/>
            <w:vAlign w:val="center"/>
          </w:tcPr>
          <w:p w14:paraId="6AC31AF9">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萘</w:t>
            </w:r>
          </w:p>
        </w:tc>
        <w:tc>
          <w:tcPr>
            <w:tcW w:w="949" w:type="pct"/>
            <w:shd w:val="clear" w:color="auto" w:fill="auto"/>
            <w:vAlign w:val="center"/>
          </w:tcPr>
          <w:p w14:paraId="59EEB47F">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91-20-3</w:t>
            </w:r>
          </w:p>
        </w:tc>
        <w:tc>
          <w:tcPr>
            <w:tcW w:w="817" w:type="pct"/>
            <w:shd w:val="clear" w:color="auto" w:fill="auto"/>
            <w:vAlign w:val="center"/>
          </w:tcPr>
          <w:p w14:paraId="358F5783">
            <w:pPr>
              <w:kinsoku/>
              <w:autoSpaceDE/>
              <w:autoSpaceDN/>
              <w:adjustRightInd/>
              <w:snapToGrid/>
              <w:jc w:val="center"/>
              <w:textAlignment w:val="center"/>
              <w:rPr>
                <w:rFonts w:hint="default" w:ascii="Times New Roman" w:hAnsi="Times New Roman" w:eastAsia="仿宋" w:cs="Times New Roman"/>
                <w:color w:val="auto"/>
              </w:rPr>
            </w:pPr>
            <w:r>
              <w:rPr>
                <w:rFonts w:hint="default" w:ascii="Times New Roman" w:hAnsi="Times New Roman" w:eastAsia="仿宋" w:cs="Times New Roman"/>
                <w:lang w:eastAsia="zh-CN"/>
              </w:rPr>
              <w:t>70</w:t>
            </w:r>
          </w:p>
        </w:tc>
        <w:tc>
          <w:tcPr>
            <w:tcW w:w="1710" w:type="pct"/>
            <w:vMerge w:val="continue"/>
            <w:shd w:val="clear" w:color="auto" w:fill="auto"/>
            <w:vAlign w:val="center"/>
          </w:tcPr>
          <w:p w14:paraId="571CFB3B">
            <w:pPr>
              <w:kinsoku/>
              <w:autoSpaceDE/>
              <w:autoSpaceDN/>
              <w:snapToGrid/>
              <w:jc w:val="center"/>
              <w:textAlignment w:val="auto"/>
              <w:rPr>
                <w:rFonts w:hint="default" w:ascii="Times New Roman" w:hAnsi="Times New Roman" w:eastAsia="仿宋" w:cs="Times New Roman"/>
                <w:color w:val="auto"/>
              </w:rPr>
            </w:pPr>
          </w:p>
        </w:tc>
      </w:tr>
      <w:tr w14:paraId="3AB8E2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shd w:val="clear" w:color="auto" w:fill="auto"/>
            <w:vAlign w:val="center"/>
          </w:tcPr>
          <w:p w14:paraId="397438EE">
            <w:pPr>
              <w:kinsoku/>
              <w:autoSpaceDE/>
              <w:autoSpaceDN/>
              <w:snapToGrid/>
              <w:jc w:val="center"/>
              <w:textAlignment w:val="auto"/>
              <w:rPr>
                <w:rFonts w:hint="default" w:ascii="Times New Roman" w:hAnsi="Times New Roman" w:eastAsia="仿宋" w:cs="Times New Roman"/>
                <w:b/>
                <w:color w:val="auto"/>
              </w:rPr>
            </w:pPr>
            <w:r>
              <w:rPr>
                <w:rFonts w:hint="default" w:ascii="Times New Roman" w:hAnsi="Times New Roman" w:eastAsia="仿宋" w:cs="Times New Roman"/>
                <w:b/>
                <w:color w:val="auto"/>
              </w:rPr>
              <w:t>特征因子</w:t>
            </w:r>
          </w:p>
        </w:tc>
      </w:tr>
      <w:tr w14:paraId="115CB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61C87D8E">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46</w:t>
            </w:r>
          </w:p>
        </w:tc>
        <w:tc>
          <w:tcPr>
            <w:tcW w:w="1119" w:type="pct"/>
            <w:gridSpan w:val="2"/>
            <w:shd w:val="clear" w:color="auto" w:fill="auto"/>
            <w:vAlign w:val="center"/>
          </w:tcPr>
          <w:p w14:paraId="6385A1CD">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石油烃（C</w:t>
            </w:r>
            <w:r>
              <w:rPr>
                <w:rFonts w:hint="default" w:ascii="Times New Roman" w:hAnsi="Times New Roman" w:eastAsia="仿宋" w:cs="Times New Roman"/>
                <w:color w:val="auto"/>
                <w:vertAlign w:val="subscript"/>
              </w:rPr>
              <w:t>10</w:t>
            </w:r>
            <w:r>
              <w:rPr>
                <w:rFonts w:hint="default" w:ascii="Times New Roman" w:hAnsi="Times New Roman" w:eastAsia="仿宋" w:cs="Times New Roman"/>
                <w:color w:val="auto"/>
              </w:rPr>
              <w:t>-C</w:t>
            </w:r>
            <w:r>
              <w:rPr>
                <w:rFonts w:hint="default" w:ascii="Times New Roman" w:hAnsi="Times New Roman" w:eastAsia="仿宋" w:cs="Times New Roman"/>
                <w:color w:val="auto"/>
                <w:vertAlign w:val="subscript"/>
              </w:rPr>
              <w:t>40</w:t>
            </w:r>
            <w:r>
              <w:rPr>
                <w:rFonts w:hint="default" w:ascii="Times New Roman" w:hAnsi="Times New Roman" w:eastAsia="仿宋" w:cs="Times New Roman"/>
                <w:color w:val="auto"/>
              </w:rPr>
              <w:t>）</w:t>
            </w:r>
          </w:p>
        </w:tc>
        <w:tc>
          <w:tcPr>
            <w:tcW w:w="949" w:type="pct"/>
            <w:shd w:val="clear" w:color="auto" w:fill="auto"/>
            <w:vAlign w:val="center"/>
          </w:tcPr>
          <w:p w14:paraId="189D20EC">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w:t>
            </w:r>
          </w:p>
        </w:tc>
        <w:tc>
          <w:tcPr>
            <w:tcW w:w="817" w:type="pct"/>
            <w:vAlign w:val="center"/>
          </w:tcPr>
          <w:p w14:paraId="5F04C357">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4500</w:t>
            </w:r>
          </w:p>
        </w:tc>
        <w:tc>
          <w:tcPr>
            <w:tcW w:w="1710" w:type="pct"/>
            <w:vMerge w:val="restart"/>
            <w:shd w:val="clear" w:color="auto" w:fill="auto"/>
            <w:vAlign w:val="center"/>
          </w:tcPr>
          <w:p w14:paraId="54C6D6FE">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《土壤环境质量建设用地土壤污染风险管控标准（试行）》(GB36600-2018)</w:t>
            </w:r>
          </w:p>
          <w:p w14:paraId="6B32A7CF">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（第</w:t>
            </w:r>
            <w:r>
              <w:rPr>
                <w:rFonts w:hint="default" w:ascii="Times New Roman" w:hAnsi="Times New Roman" w:eastAsia="仿宋" w:cs="Times New Roman"/>
                <w:color w:val="auto"/>
                <w:lang w:eastAsia="zh-CN"/>
              </w:rPr>
              <w:t>二</w:t>
            </w:r>
            <w:r>
              <w:rPr>
                <w:rFonts w:hint="default" w:ascii="Times New Roman" w:hAnsi="Times New Roman" w:eastAsia="仿宋" w:cs="Times New Roman"/>
                <w:color w:val="auto"/>
              </w:rPr>
              <w:t>类用地）</w:t>
            </w:r>
          </w:p>
        </w:tc>
      </w:tr>
      <w:tr w14:paraId="5F06B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2C414D3B">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47</w:t>
            </w:r>
          </w:p>
        </w:tc>
        <w:tc>
          <w:tcPr>
            <w:tcW w:w="1119" w:type="pct"/>
            <w:gridSpan w:val="2"/>
            <w:shd w:val="clear" w:color="auto" w:fill="auto"/>
            <w:vAlign w:val="center"/>
          </w:tcPr>
          <w:p w14:paraId="603CAB18">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氰化物</w:t>
            </w:r>
          </w:p>
        </w:tc>
        <w:tc>
          <w:tcPr>
            <w:tcW w:w="949" w:type="pct"/>
            <w:shd w:val="clear" w:color="auto" w:fill="auto"/>
            <w:vAlign w:val="center"/>
          </w:tcPr>
          <w:p w14:paraId="127CAFAF">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lang w:eastAsia="zh-CN"/>
              </w:rPr>
              <w:t>57-12-5</w:t>
            </w:r>
          </w:p>
        </w:tc>
        <w:tc>
          <w:tcPr>
            <w:tcW w:w="817" w:type="pct"/>
            <w:shd w:val="clear" w:color="auto" w:fill="auto"/>
            <w:vAlign w:val="center"/>
          </w:tcPr>
          <w:p w14:paraId="546C78A2">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lang w:eastAsia="zh-CN"/>
              </w:rPr>
              <w:t>135</w:t>
            </w:r>
          </w:p>
        </w:tc>
        <w:tc>
          <w:tcPr>
            <w:tcW w:w="1710" w:type="pct"/>
            <w:vMerge w:val="continue"/>
            <w:shd w:val="clear" w:color="auto" w:fill="auto"/>
            <w:vAlign w:val="center"/>
          </w:tcPr>
          <w:p w14:paraId="605CB132">
            <w:pPr>
              <w:kinsoku/>
              <w:autoSpaceDE/>
              <w:autoSpaceDN/>
              <w:snapToGrid/>
              <w:jc w:val="center"/>
              <w:textAlignment w:val="auto"/>
              <w:rPr>
                <w:rFonts w:hint="default" w:ascii="Times New Roman" w:hAnsi="Times New Roman" w:eastAsia="仿宋" w:cs="Times New Roman"/>
                <w:color w:val="auto"/>
                <w:lang w:eastAsia="zh-CN"/>
              </w:rPr>
            </w:pPr>
          </w:p>
        </w:tc>
      </w:tr>
      <w:tr w14:paraId="248CB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2089DFC8">
            <w:pPr>
              <w:kinsoku/>
              <w:autoSpaceDE/>
              <w:autoSpaceDN/>
              <w:snapToGrid/>
              <w:jc w:val="center"/>
              <w:textAlignment w:val="auto"/>
              <w:rPr>
                <w:rFonts w:hint="default" w:ascii="Times New Roman" w:hAnsi="Times New Roman" w:eastAsia="仿宋" w:cs="Times New Roman"/>
                <w:color w:val="auto"/>
                <w:kern w:val="2"/>
                <w:szCs w:val="22"/>
                <w:lang w:eastAsia="zh-CN"/>
              </w:rPr>
            </w:pPr>
            <w:r>
              <w:rPr>
                <w:rFonts w:hint="default" w:ascii="Times New Roman" w:hAnsi="Times New Roman" w:eastAsia="仿宋" w:cs="Times New Roman"/>
                <w:color w:val="auto"/>
                <w:lang w:eastAsia="zh-CN"/>
              </w:rPr>
              <w:t>48</w:t>
            </w:r>
          </w:p>
        </w:tc>
        <w:tc>
          <w:tcPr>
            <w:tcW w:w="1119" w:type="pct"/>
            <w:gridSpan w:val="2"/>
            <w:shd w:val="clear" w:color="auto" w:fill="auto"/>
            <w:vAlign w:val="center"/>
          </w:tcPr>
          <w:p w14:paraId="645ACAC7">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总氟化物</w:t>
            </w:r>
          </w:p>
        </w:tc>
        <w:tc>
          <w:tcPr>
            <w:tcW w:w="949" w:type="pct"/>
            <w:shd w:val="clear" w:color="auto" w:fill="auto"/>
            <w:vAlign w:val="center"/>
          </w:tcPr>
          <w:p w14:paraId="0A222D4E">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16984-48-8</w:t>
            </w:r>
          </w:p>
        </w:tc>
        <w:tc>
          <w:tcPr>
            <w:tcW w:w="817" w:type="pct"/>
            <w:vAlign w:val="center"/>
          </w:tcPr>
          <w:p w14:paraId="5C30CA39">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21700</w:t>
            </w:r>
          </w:p>
        </w:tc>
        <w:tc>
          <w:tcPr>
            <w:tcW w:w="1710" w:type="pct"/>
            <w:vMerge w:val="restart"/>
            <w:shd w:val="clear" w:color="auto" w:fill="auto"/>
            <w:vAlign w:val="center"/>
          </w:tcPr>
          <w:p w14:paraId="56CAD215">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江苏地标《建设用地土壤污染风险筛选值》</w:t>
            </w:r>
          </w:p>
          <w:p w14:paraId="3DEA669E">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w:t>
            </w:r>
            <w:r>
              <w:rPr>
                <w:rFonts w:hint="default" w:ascii="Times New Roman" w:hAnsi="Times New Roman" w:eastAsia="仿宋" w:cs="Times New Roman"/>
                <w:color w:val="auto"/>
              </w:rPr>
              <w:t>DB32/T 4712-2024</w:t>
            </w:r>
            <w:r>
              <w:rPr>
                <w:rFonts w:hint="default" w:ascii="Times New Roman" w:hAnsi="Times New Roman" w:eastAsia="仿宋" w:cs="Times New Roman"/>
                <w:color w:val="auto"/>
                <w:lang w:eastAsia="zh-CN"/>
              </w:rPr>
              <w:t>）</w:t>
            </w:r>
          </w:p>
          <w:p w14:paraId="646F7FF5">
            <w:pPr>
              <w:kinsoku/>
              <w:autoSpaceDE/>
              <w:autoSpaceDN/>
              <w:snapToGrid/>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（第</w:t>
            </w:r>
            <w:r>
              <w:rPr>
                <w:rFonts w:hint="default" w:ascii="Times New Roman" w:hAnsi="Times New Roman" w:eastAsia="仿宋" w:cs="Times New Roman"/>
                <w:color w:val="auto"/>
                <w:lang w:eastAsia="zh-CN"/>
              </w:rPr>
              <w:t>二</w:t>
            </w:r>
            <w:r>
              <w:rPr>
                <w:rFonts w:hint="default" w:ascii="Times New Roman" w:hAnsi="Times New Roman" w:eastAsia="仿宋" w:cs="Times New Roman"/>
                <w:color w:val="auto"/>
              </w:rPr>
              <w:t>类用地）</w:t>
            </w:r>
          </w:p>
        </w:tc>
      </w:tr>
      <w:tr w14:paraId="24416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460449D2">
            <w:pPr>
              <w:kinsoku/>
              <w:autoSpaceDE/>
              <w:autoSpaceDN/>
              <w:snapToGrid/>
              <w:jc w:val="center"/>
              <w:textAlignment w:val="auto"/>
              <w:rPr>
                <w:rFonts w:hint="default" w:ascii="Times New Roman" w:hAnsi="Times New Roman" w:eastAsia="仿宋" w:cs="Times New Roman"/>
                <w:color w:val="auto"/>
                <w:kern w:val="2"/>
                <w:szCs w:val="22"/>
                <w:lang w:eastAsia="zh-CN"/>
              </w:rPr>
            </w:pPr>
            <w:r>
              <w:rPr>
                <w:rFonts w:hint="default" w:ascii="Times New Roman" w:hAnsi="Times New Roman" w:eastAsia="仿宋" w:cs="Times New Roman"/>
                <w:color w:val="auto"/>
                <w:lang w:eastAsia="zh-CN"/>
              </w:rPr>
              <w:t>49</w:t>
            </w:r>
          </w:p>
        </w:tc>
        <w:tc>
          <w:tcPr>
            <w:tcW w:w="1119" w:type="pct"/>
            <w:gridSpan w:val="2"/>
            <w:shd w:val="clear" w:color="auto" w:fill="auto"/>
            <w:vAlign w:val="center"/>
          </w:tcPr>
          <w:p w14:paraId="2D90D435">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钼</w:t>
            </w:r>
          </w:p>
        </w:tc>
        <w:tc>
          <w:tcPr>
            <w:tcW w:w="949" w:type="pct"/>
            <w:shd w:val="clear" w:color="auto" w:fill="auto"/>
            <w:vAlign w:val="center"/>
          </w:tcPr>
          <w:p w14:paraId="2829C3B5">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7439-98-7</w:t>
            </w:r>
          </w:p>
        </w:tc>
        <w:tc>
          <w:tcPr>
            <w:tcW w:w="817" w:type="pct"/>
            <w:vAlign w:val="center"/>
          </w:tcPr>
          <w:p w14:paraId="6545B10C">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2130</w:t>
            </w:r>
          </w:p>
        </w:tc>
        <w:tc>
          <w:tcPr>
            <w:tcW w:w="1710" w:type="pct"/>
            <w:vMerge w:val="continue"/>
            <w:shd w:val="clear" w:color="auto" w:fill="auto"/>
            <w:vAlign w:val="center"/>
          </w:tcPr>
          <w:p w14:paraId="3DA5FF56">
            <w:pPr>
              <w:kinsoku/>
              <w:autoSpaceDE/>
              <w:autoSpaceDN/>
              <w:snapToGrid/>
              <w:jc w:val="center"/>
              <w:textAlignment w:val="auto"/>
              <w:rPr>
                <w:rFonts w:hint="default" w:ascii="Times New Roman" w:hAnsi="Times New Roman" w:eastAsia="仿宋" w:cs="Times New Roman"/>
                <w:color w:val="auto"/>
              </w:rPr>
            </w:pPr>
          </w:p>
        </w:tc>
      </w:tr>
      <w:tr w14:paraId="699DE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7C492933">
            <w:pPr>
              <w:kinsoku/>
              <w:autoSpaceDE/>
              <w:autoSpaceDN/>
              <w:snapToGrid/>
              <w:jc w:val="center"/>
              <w:textAlignment w:val="auto"/>
              <w:rPr>
                <w:rFonts w:hint="default" w:ascii="Times New Roman" w:hAnsi="Times New Roman" w:eastAsia="仿宋" w:cs="Times New Roman"/>
                <w:color w:val="auto"/>
                <w:kern w:val="2"/>
                <w:szCs w:val="22"/>
                <w:lang w:eastAsia="zh-CN"/>
              </w:rPr>
            </w:pPr>
            <w:r>
              <w:rPr>
                <w:rFonts w:hint="default" w:ascii="Times New Roman" w:hAnsi="Times New Roman" w:eastAsia="仿宋" w:cs="Times New Roman"/>
                <w:color w:val="auto"/>
                <w:lang w:eastAsia="zh-CN"/>
              </w:rPr>
              <w:t>50</w:t>
            </w:r>
          </w:p>
        </w:tc>
        <w:tc>
          <w:tcPr>
            <w:tcW w:w="1119" w:type="pct"/>
            <w:gridSpan w:val="2"/>
            <w:shd w:val="clear" w:color="auto" w:fill="auto"/>
            <w:vAlign w:val="center"/>
          </w:tcPr>
          <w:p w14:paraId="1DBE9472">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总铬</w:t>
            </w:r>
          </w:p>
        </w:tc>
        <w:tc>
          <w:tcPr>
            <w:tcW w:w="949" w:type="pct"/>
            <w:shd w:val="clear" w:color="auto" w:fill="auto"/>
            <w:vAlign w:val="center"/>
          </w:tcPr>
          <w:p w14:paraId="3351AA43">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7440-47-3</w:t>
            </w:r>
          </w:p>
        </w:tc>
        <w:tc>
          <w:tcPr>
            <w:tcW w:w="817" w:type="pct"/>
            <w:vAlign w:val="center"/>
          </w:tcPr>
          <w:p w14:paraId="5EFDA5CD">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w:t>
            </w:r>
          </w:p>
        </w:tc>
        <w:tc>
          <w:tcPr>
            <w:tcW w:w="1710" w:type="pct"/>
            <w:vMerge w:val="restart"/>
            <w:shd w:val="clear" w:color="auto" w:fill="auto"/>
            <w:vAlign w:val="center"/>
          </w:tcPr>
          <w:p w14:paraId="43CEA508">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w:t>
            </w:r>
          </w:p>
        </w:tc>
      </w:tr>
      <w:tr w14:paraId="0DF49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6A61D97C">
            <w:pPr>
              <w:kinsoku/>
              <w:autoSpaceDE/>
              <w:autoSpaceDN/>
              <w:snapToGrid/>
              <w:jc w:val="center"/>
              <w:textAlignment w:val="auto"/>
              <w:rPr>
                <w:rFonts w:hint="default" w:ascii="Times New Roman" w:hAnsi="Times New Roman" w:eastAsia="仿宋" w:cs="Times New Roman"/>
                <w:color w:val="auto"/>
                <w:kern w:val="2"/>
                <w:szCs w:val="22"/>
                <w:lang w:eastAsia="zh-CN"/>
              </w:rPr>
            </w:pPr>
            <w:r>
              <w:rPr>
                <w:rFonts w:hint="default" w:ascii="Times New Roman" w:hAnsi="Times New Roman" w:eastAsia="仿宋" w:cs="Times New Roman"/>
                <w:color w:val="auto"/>
                <w:lang w:eastAsia="zh-CN"/>
              </w:rPr>
              <w:t>51</w:t>
            </w:r>
          </w:p>
        </w:tc>
        <w:tc>
          <w:tcPr>
            <w:tcW w:w="1119" w:type="pct"/>
            <w:gridSpan w:val="2"/>
            <w:shd w:val="clear" w:color="auto" w:fill="auto"/>
            <w:vAlign w:val="center"/>
          </w:tcPr>
          <w:p w14:paraId="46E14768">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锌</w:t>
            </w:r>
          </w:p>
        </w:tc>
        <w:tc>
          <w:tcPr>
            <w:tcW w:w="949" w:type="pct"/>
            <w:shd w:val="clear" w:color="auto" w:fill="auto"/>
            <w:vAlign w:val="center"/>
          </w:tcPr>
          <w:p w14:paraId="4B7D470F">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7440-66-6</w:t>
            </w:r>
          </w:p>
        </w:tc>
        <w:tc>
          <w:tcPr>
            <w:tcW w:w="817" w:type="pct"/>
            <w:vAlign w:val="center"/>
          </w:tcPr>
          <w:p w14:paraId="201BE1F8">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w:t>
            </w:r>
          </w:p>
        </w:tc>
        <w:tc>
          <w:tcPr>
            <w:tcW w:w="1710" w:type="pct"/>
            <w:vMerge w:val="continue"/>
            <w:shd w:val="clear" w:color="auto" w:fill="auto"/>
            <w:vAlign w:val="center"/>
          </w:tcPr>
          <w:p w14:paraId="68B8A090">
            <w:pPr>
              <w:kinsoku/>
              <w:autoSpaceDE/>
              <w:autoSpaceDN/>
              <w:snapToGrid/>
              <w:jc w:val="center"/>
              <w:textAlignment w:val="auto"/>
              <w:rPr>
                <w:rFonts w:hint="default" w:ascii="Times New Roman" w:hAnsi="Times New Roman" w:eastAsia="仿宋" w:cs="Times New Roman"/>
                <w:color w:val="auto"/>
              </w:rPr>
            </w:pPr>
          </w:p>
        </w:tc>
      </w:tr>
      <w:tr w14:paraId="08ADF3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7BD2CAC2">
            <w:pPr>
              <w:kinsoku/>
              <w:autoSpaceDE/>
              <w:autoSpaceDN/>
              <w:snapToGrid/>
              <w:jc w:val="center"/>
              <w:textAlignment w:val="auto"/>
              <w:rPr>
                <w:rFonts w:hint="default" w:ascii="Times New Roman" w:hAnsi="Times New Roman" w:eastAsia="仿宋" w:cs="Times New Roman"/>
                <w:color w:val="auto"/>
                <w:kern w:val="2"/>
                <w:szCs w:val="22"/>
                <w:lang w:eastAsia="zh-CN"/>
              </w:rPr>
            </w:pPr>
            <w:r>
              <w:rPr>
                <w:rFonts w:hint="default" w:ascii="Times New Roman" w:hAnsi="Times New Roman" w:eastAsia="仿宋" w:cs="Times New Roman"/>
                <w:color w:val="auto"/>
                <w:lang w:eastAsia="zh-CN"/>
              </w:rPr>
              <w:t>52</w:t>
            </w:r>
          </w:p>
        </w:tc>
        <w:tc>
          <w:tcPr>
            <w:tcW w:w="1119" w:type="pct"/>
            <w:gridSpan w:val="2"/>
            <w:shd w:val="clear" w:color="auto" w:fill="auto"/>
            <w:vAlign w:val="center"/>
          </w:tcPr>
          <w:p w14:paraId="60B960AC">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锡</w:t>
            </w:r>
          </w:p>
        </w:tc>
        <w:tc>
          <w:tcPr>
            <w:tcW w:w="949" w:type="pct"/>
            <w:shd w:val="clear" w:color="auto" w:fill="auto"/>
            <w:vAlign w:val="center"/>
          </w:tcPr>
          <w:p w14:paraId="42BE8B6A">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7440-31-5</w:t>
            </w:r>
          </w:p>
        </w:tc>
        <w:tc>
          <w:tcPr>
            <w:tcW w:w="817" w:type="pct"/>
            <w:vAlign w:val="center"/>
          </w:tcPr>
          <w:p w14:paraId="22F72EB0">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w:t>
            </w:r>
          </w:p>
        </w:tc>
        <w:tc>
          <w:tcPr>
            <w:tcW w:w="1710" w:type="pct"/>
            <w:vMerge w:val="continue"/>
            <w:shd w:val="clear" w:color="auto" w:fill="auto"/>
            <w:vAlign w:val="center"/>
          </w:tcPr>
          <w:p w14:paraId="7FC6CCDB">
            <w:pPr>
              <w:kinsoku/>
              <w:autoSpaceDE/>
              <w:autoSpaceDN/>
              <w:snapToGrid/>
              <w:jc w:val="center"/>
              <w:textAlignment w:val="auto"/>
              <w:rPr>
                <w:rFonts w:hint="default" w:ascii="Times New Roman" w:hAnsi="Times New Roman" w:eastAsia="仿宋" w:cs="Times New Roman"/>
                <w:color w:val="auto"/>
              </w:rPr>
            </w:pPr>
          </w:p>
        </w:tc>
      </w:tr>
      <w:tr w14:paraId="59377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1458FA13">
            <w:pPr>
              <w:kinsoku/>
              <w:autoSpaceDE/>
              <w:autoSpaceDN/>
              <w:snapToGrid/>
              <w:jc w:val="center"/>
              <w:textAlignment w:val="auto"/>
              <w:rPr>
                <w:rFonts w:hint="default" w:ascii="Times New Roman" w:hAnsi="Times New Roman" w:eastAsia="仿宋" w:cs="Times New Roman"/>
                <w:color w:val="auto"/>
                <w:kern w:val="2"/>
                <w:szCs w:val="22"/>
                <w:lang w:eastAsia="zh-CN"/>
              </w:rPr>
            </w:pPr>
            <w:r>
              <w:rPr>
                <w:rFonts w:hint="default" w:ascii="Times New Roman" w:hAnsi="Times New Roman" w:eastAsia="仿宋" w:cs="Times New Roman"/>
                <w:color w:val="auto"/>
                <w:lang w:eastAsia="zh-CN"/>
              </w:rPr>
              <w:t>53</w:t>
            </w:r>
          </w:p>
        </w:tc>
        <w:tc>
          <w:tcPr>
            <w:tcW w:w="1119" w:type="pct"/>
            <w:gridSpan w:val="2"/>
            <w:shd w:val="clear" w:color="auto" w:fill="auto"/>
            <w:vAlign w:val="center"/>
          </w:tcPr>
          <w:p w14:paraId="347E6400">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锰</w:t>
            </w:r>
          </w:p>
        </w:tc>
        <w:tc>
          <w:tcPr>
            <w:tcW w:w="949" w:type="pct"/>
            <w:shd w:val="clear" w:color="auto" w:fill="auto"/>
            <w:vAlign w:val="center"/>
          </w:tcPr>
          <w:p w14:paraId="6FCF1735">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7439-96-5</w:t>
            </w:r>
          </w:p>
        </w:tc>
        <w:tc>
          <w:tcPr>
            <w:tcW w:w="817" w:type="pct"/>
            <w:vAlign w:val="center"/>
          </w:tcPr>
          <w:p w14:paraId="76BA49D5">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w:t>
            </w:r>
          </w:p>
        </w:tc>
        <w:tc>
          <w:tcPr>
            <w:tcW w:w="1710" w:type="pct"/>
            <w:vMerge w:val="continue"/>
            <w:shd w:val="clear" w:color="auto" w:fill="auto"/>
            <w:vAlign w:val="center"/>
          </w:tcPr>
          <w:p w14:paraId="63AF5AB3">
            <w:pPr>
              <w:kinsoku/>
              <w:autoSpaceDE/>
              <w:autoSpaceDN/>
              <w:snapToGrid/>
              <w:jc w:val="center"/>
              <w:textAlignment w:val="auto"/>
              <w:rPr>
                <w:rFonts w:hint="default" w:ascii="Times New Roman" w:hAnsi="Times New Roman" w:eastAsia="仿宋" w:cs="Times New Roman"/>
                <w:color w:val="auto"/>
                <w:lang w:eastAsia="zh-CN"/>
              </w:rPr>
            </w:pPr>
          </w:p>
        </w:tc>
      </w:tr>
      <w:tr w14:paraId="2FC5E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408F0AA9">
            <w:pPr>
              <w:kinsoku/>
              <w:autoSpaceDE/>
              <w:autoSpaceDN/>
              <w:snapToGrid/>
              <w:jc w:val="center"/>
              <w:textAlignment w:val="auto"/>
              <w:rPr>
                <w:rFonts w:hint="default" w:ascii="Times New Roman" w:hAnsi="Times New Roman" w:eastAsia="仿宋" w:cs="Times New Roman"/>
                <w:color w:val="auto"/>
                <w:kern w:val="2"/>
                <w:szCs w:val="22"/>
                <w:lang w:eastAsia="zh-CN"/>
              </w:rPr>
            </w:pPr>
            <w:r>
              <w:rPr>
                <w:rFonts w:hint="default" w:ascii="Times New Roman" w:hAnsi="Times New Roman" w:eastAsia="仿宋" w:cs="Times New Roman"/>
                <w:color w:val="auto"/>
                <w:kern w:val="2"/>
                <w:szCs w:val="22"/>
                <w:lang w:eastAsia="zh-CN"/>
              </w:rPr>
              <w:t>54</w:t>
            </w:r>
          </w:p>
        </w:tc>
        <w:tc>
          <w:tcPr>
            <w:tcW w:w="1119" w:type="pct"/>
            <w:gridSpan w:val="2"/>
            <w:shd w:val="clear" w:color="auto" w:fill="auto"/>
            <w:vAlign w:val="center"/>
          </w:tcPr>
          <w:p w14:paraId="4A98C531">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银</w:t>
            </w:r>
          </w:p>
        </w:tc>
        <w:tc>
          <w:tcPr>
            <w:tcW w:w="949" w:type="pct"/>
            <w:shd w:val="clear" w:color="auto" w:fill="auto"/>
            <w:vAlign w:val="center"/>
          </w:tcPr>
          <w:p w14:paraId="61D1D3CC">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7440-22-4</w:t>
            </w:r>
          </w:p>
        </w:tc>
        <w:tc>
          <w:tcPr>
            <w:tcW w:w="817" w:type="pct"/>
            <w:vAlign w:val="center"/>
          </w:tcPr>
          <w:p w14:paraId="49B721A2">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w:t>
            </w:r>
          </w:p>
        </w:tc>
        <w:tc>
          <w:tcPr>
            <w:tcW w:w="1710" w:type="pct"/>
            <w:vMerge w:val="continue"/>
            <w:shd w:val="clear" w:color="auto" w:fill="auto"/>
            <w:vAlign w:val="center"/>
          </w:tcPr>
          <w:p w14:paraId="11922C9B">
            <w:pPr>
              <w:widowControl w:val="0"/>
              <w:kinsoku/>
              <w:autoSpaceDE/>
              <w:autoSpaceDN/>
              <w:snapToGrid/>
              <w:jc w:val="center"/>
              <w:textAlignment w:val="auto"/>
              <w:rPr>
                <w:rFonts w:hint="default" w:ascii="Times New Roman" w:hAnsi="Times New Roman" w:eastAsia="仿宋" w:cs="Times New Roman"/>
                <w:color w:val="auto"/>
              </w:rPr>
            </w:pPr>
          </w:p>
        </w:tc>
      </w:tr>
      <w:tr w14:paraId="6CC5A7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4" w:type="pct"/>
            <w:shd w:val="clear" w:color="auto" w:fill="auto"/>
            <w:vAlign w:val="center"/>
          </w:tcPr>
          <w:p w14:paraId="5644DA16">
            <w:pPr>
              <w:kinsoku/>
              <w:autoSpaceDE/>
              <w:autoSpaceDN/>
              <w:snapToGrid/>
              <w:jc w:val="center"/>
              <w:textAlignment w:val="auto"/>
              <w:rPr>
                <w:rFonts w:hint="default" w:ascii="Times New Roman" w:hAnsi="Times New Roman" w:eastAsia="仿宋" w:cs="Times New Roman"/>
                <w:color w:val="auto"/>
                <w:kern w:val="2"/>
                <w:szCs w:val="22"/>
                <w:lang w:eastAsia="zh-CN"/>
              </w:rPr>
            </w:pPr>
            <w:r>
              <w:rPr>
                <w:rFonts w:hint="default" w:ascii="Times New Roman" w:hAnsi="Times New Roman" w:eastAsia="仿宋" w:cs="Times New Roman"/>
                <w:color w:val="auto"/>
                <w:kern w:val="2"/>
                <w:szCs w:val="22"/>
                <w:lang w:eastAsia="zh-CN"/>
              </w:rPr>
              <w:t>55</w:t>
            </w:r>
          </w:p>
        </w:tc>
        <w:tc>
          <w:tcPr>
            <w:tcW w:w="1119" w:type="pct"/>
            <w:gridSpan w:val="2"/>
            <w:shd w:val="clear" w:color="auto" w:fill="auto"/>
            <w:vAlign w:val="center"/>
          </w:tcPr>
          <w:p w14:paraId="2A6F7069">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苯酚</w:t>
            </w:r>
          </w:p>
        </w:tc>
        <w:tc>
          <w:tcPr>
            <w:tcW w:w="949" w:type="pct"/>
            <w:shd w:val="clear" w:color="auto" w:fill="auto"/>
            <w:vAlign w:val="center"/>
          </w:tcPr>
          <w:p w14:paraId="10382DA3">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108-95-2</w:t>
            </w:r>
          </w:p>
        </w:tc>
        <w:tc>
          <w:tcPr>
            <w:tcW w:w="817" w:type="pct"/>
            <w:vAlign w:val="center"/>
          </w:tcPr>
          <w:p w14:paraId="563B7040">
            <w:pPr>
              <w:kinsoku/>
              <w:autoSpaceDE/>
              <w:autoSpaceDN/>
              <w:snapToGrid/>
              <w:jc w:val="center"/>
              <w:textAlignment w:val="auto"/>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w:t>
            </w:r>
          </w:p>
        </w:tc>
        <w:tc>
          <w:tcPr>
            <w:tcW w:w="1710" w:type="pct"/>
            <w:vMerge w:val="continue"/>
            <w:shd w:val="clear" w:color="auto" w:fill="auto"/>
            <w:vAlign w:val="center"/>
          </w:tcPr>
          <w:p w14:paraId="414E1D45">
            <w:pPr>
              <w:widowControl w:val="0"/>
              <w:kinsoku/>
              <w:autoSpaceDE/>
              <w:autoSpaceDN/>
              <w:snapToGrid/>
              <w:jc w:val="center"/>
              <w:textAlignment w:val="auto"/>
              <w:rPr>
                <w:rFonts w:hint="default" w:ascii="Times New Roman" w:hAnsi="Times New Roman" w:eastAsia="仿宋" w:cs="Times New Roman"/>
                <w:color w:val="auto"/>
              </w:rPr>
            </w:pPr>
          </w:p>
        </w:tc>
      </w:tr>
    </w:tbl>
    <w:p w14:paraId="75BC6A81">
      <w:pPr>
        <w:pStyle w:val="3"/>
        <w:widowControl w:val="0"/>
        <w:kinsoku/>
        <w:overflowPunct w:val="0"/>
        <w:topLinePunct/>
        <w:autoSpaceDE/>
        <w:autoSpaceDN/>
        <w:adjustRightInd/>
        <w:snapToGrid/>
        <w:spacing w:before="96" w:beforeLines="40" w:after="120" w:afterLines="50" w:line="360" w:lineRule="auto"/>
        <w:jc w:val="both"/>
        <w:textAlignment w:val="auto"/>
        <w:rPr>
          <w:rFonts w:hint="default" w:ascii="Times New Roman" w:hAnsi="Times New Roman" w:eastAsia="仿宋" w:cs="Times New Roman"/>
          <w:snapToGrid/>
          <w:kern w:val="2"/>
          <w:sz w:val="28"/>
          <w:lang w:eastAsia="zh-CN"/>
        </w:rPr>
      </w:pPr>
      <w:bookmarkStart w:id="80" w:name="_Toc26236"/>
      <w:bookmarkStart w:id="81" w:name="_Toc14240"/>
      <w:bookmarkStart w:id="82" w:name="_Toc26949"/>
      <w:r>
        <w:rPr>
          <w:rFonts w:hint="default" w:ascii="Times New Roman" w:hAnsi="Times New Roman" w:eastAsia="仿宋" w:cs="Times New Roman"/>
          <w:snapToGrid/>
          <w:kern w:val="2"/>
          <w:sz w:val="28"/>
          <w:lang w:eastAsia="zh-CN"/>
        </w:rPr>
        <w:t xml:space="preserve">4.5.2 </w:t>
      </w:r>
      <w:bookmarkEnd w:id="79"/>
      <w:r>
        <w:rPr>
          <w:rFonts w:hint="default" w:ascii="Times New Roman" w:hAnsi="Times New Roman" w:eastAsia="仿宋" w:cs="Times New Roman"/>
          <w:snapToGrid/>
          <w:kern w:val="2"/>
          <w:sz w:val="28"/>
          <w:lang w:eastAsia="zh-CN"/>
        </w:rPr>
        <w:t>土壤检测结果</w:t>
      </w:r>
      <w:bookmarkEnd w:id="80"/>
      <w:bookmarkEnd w:id="81"/>
      <w:bookmarkEnd w:id="82"/>
    </w:p>
    <w:p w14:paraId="584EDEDB">
      <w:pPr>
        <w:widowControl w:val="0"/>
        <w:kinsoku/>
        <w:autoSpaceDE/>
        <w:autoSpaceDN/>
        <w:adjustRightInd/>
        <w:snapToGrid/>
        <w:spacing w:line="360" w:lineRule="auto"/>
        <w:ind w:firstLine="560" w:firstLineChars="200"/>
        <w:jc w:val="both"/>
        <w:textAlignment w:val="auto"/>
        <w:rPr>
          <w:rFonts w:hint="default" w:ascii="Times New Roman" w:hAnsi="Times New Roman" w:eastAsia="仿宋" w:cs="Times New Roman"/>
          <w:snapToGrid/>
          <w:color w:val="auto"/>
          <w:kern w:val="2"/>
          <w:sz w:val="28"/>
          <w:szCs w:val="22"/>
          <w:lang w:eastAsia="zh-CN"/>
        </w:rPr>
      </w:pPr>
      <w:r>
        <w:rPr>
          <w:rFonts w:hint="default" w:ascii="Times New Roman" w:hAnsi="Times New Roman" w:eastAsia="仿宋" w:cs="Times New Roman"/>
          <w:snapToGrid/>
          <w:color w:val="auto"/>
          <w:kern w:val="2"/>
          <w:sz w:val="28"/>
          <w:szCs w:val="22"/>
          <w:lang w:eastAsia="zh-CN"/>
        </w:rPr>
        <w:t>本项目共采集77个土壤样品（含地块内土壤样品63个、内部平行样品7个、外部平行样品7个）。每份平行样品需要采集3份，同时送检测内部实验室和外部实验室。检出情况详见表4.5-2~4.5-3。</w:t>
      </w:r>
    </w:p>
    <w:p w14:paraId="64C86B79">
      <w:pPr>
        <w:rPr>
          <w:rFonts w:hint="default" w:ascii="Times New Roman" w:hAnsi="Times New Roman" w:eastAsia="仿宋" w:cs="Times New Roman"/>
          <w:b/>
          <w:bCs/>
          <w:color w:val="0000FF"/>
          <w:spacing w:val="-3"/>
          <w:sz w:val="28"/>
          <w:szCs w:val="28"/>
          <w:lang w:eastAsia="zh-CN"/>
        </w:rPr>
      </w:pPr>
      <w:r>
        <w:rPr>
          <w:rFonts w:hint="default" w:ascii="Times New Roman" w:hAnsi="Times New Roman" w:eastAsia="仿宋" w:cs="Times New Roman"/>
          <w:b/>
          <w:bCs/>
          <w:color w:val="0000FF"/>
          <w:spacing w:val="-3"/>
          <w:sz w:val="28"/>
          <w:szCs w:val="28"/>
          <w:lang w:eastAsia="zh-CN"/>
        </w:rPr>
        <w:br w:type="page"/>
      </w:r>
    </w:p>
    <w:p w14:paraId="77CFDAB8">
      <w:pPr>
        <w:pStyle w:val="8"/>
        <w:kinsoku/>
        <w:overflowPunct w:val="0"/>
        <w:topLinePunct/>
        <w:autoSpaceDE/>
        <w:autoSpaceDN/>
        <w:spacing w:before="152" w:line="229" w:lineRule="auto"/>
        <w:ind w:left="2781"/>
        <w:rPr>
          <w:rFonts w:hint="default" w:ascii="Times New Roman" w:hAnsi="Times New Roman" w:eastAsia="仿宋" w:cs="Times New Roman"/>
          <w:b/>
          <w:bCs/>
          <w:color w:val="0000FF"/>
          <w:spacing w:val="-3"/>
          <w:lang w:eastAsia="zh-CN"/>
        </w:rPr>
        <w:sectPr>
          <w:headerReference r:id="rId11" w:type="default"/>
          <w:footerReference r:id="rId12" w:type="default"/>
          <w:pgSz w:w="11905" w:h="16838"/>
          <w:pgMar w:top="1440" w:right="1803" w:bottom="1440" w:left="1803" w:header="833" w:footer="1123" w:gutter="0"/>
          <w:cols w:space="0" w:num="1"/>
        </w:sectPr>
      </w:pPr>
    </w:p>
    <w:p w14:paraId="5750F19C">
      <w:pPr>
        <w:tabs>
          <w:tab w:val="left" w:pos="912"/>
        </w:tabs>
        <w:spacing w:line="360" w:lineRule="auto"/>
        <w:ind w:firstLine="544" w:firstLineChars="200"/>
        <w:jc w:val="both"/>
        <w:rPr>
          <w:rFonts w:hint="default" w:ascii="Times New Roman" w:hAnsi="Times New Roman" w:eastAsia="仿宋" w:cs="Times New Roman"/>
          <w:color w:val="auto"/>
          <w:spacing w:val="-4"/>
          <w:sz w:val="28"/>
          <w:szCs w:val="28"/>
          <w:lang w:eastAsia="zh-CN"/>
        </w:rPr>
      </w:pPr>
    </w:p>
    <w:p w14:paraId="5751CC4E">
      <w:pPr>
        <w:kinsoku/>
        <w:overflowPunct w:val="0"/>
        <w:topLinePunct/>
        <w:autoSpaceDE/>
        <w:autoSpaceDN/>
        <w:adjustRightInd/>
        <w:snapToGrid/>
        <w:spacing w:before="120" w:after="120" w:line="360" w:lineRule="auto"/>
        <w:jc w:val="both"/>
        <w:textAlignment w:val="auto"/>
        <w:outlineLvl w:val="1"/>
        <w:rPr>
          <w:rFonts w:hint="default" w:ascii="Times New Roman" w:hAnsi="Times New Roman" w:eastAsia="仿宋" w:cs="Times New Roman"/>
          <w:b/>
          <w:bCs/>
          <w:snapToGrid/>
          <w:kern w:val="2"/>
          <w:sz w:val="30"/>
          <w:szCs w:val="30"/>
          <w:lang w:eastAsia="zh-CN"/>
        </w:rPr>
      </w:pPr>
      <w:bookmarkStart w:id="83" w:name="bookmark111"/>
      <w:bookmarkEnd w:id="83"/>
      <w:bookmarkStart w:id="84" w:name="_Toc11676"/>
      <w:bookmarkStart w:id="85" w:name="_Toc23892"/>
      <w:r>
        <w:rPr>
          <w:rFonts w:hint="default" w:ascii="Times New Roman" w:hAnsi="Times New Roman" w:eastAsia="仿宋" w:cs="Times New Roman"/>
          <w:b/>
          <w:bCs/>
          <w:snapToGrid/>
          <w:kern w:val="2"/>
          <w:sz w:val="30"/>
          <w:szCs w:val="30"/>
          <w:lang w:eastAsia="zh-CN"/>
        </w:rPr>
        <w:t>4.6 第三阶段土壤污染状况调查</w:t>
      </w:r>
      <w:bookmarkEnd w:id="84"/>
      <w:bookmarkEnd w:id="85"/>
    </w:p>
    <w:p w14:paraId="7817B5FB">
      <w:pPr>
        <w:pStyle w:val="8"/>
        <w:kinsoku/>
        <w:overflowPunct w:val="0"/>
        <w:topLinePunct/>
        <w:autoSpaceDE/>
        <w:autoSpaceDN/>
        <w:spacing w:before="133" w:line="360" w:lineRule="auto"/>
        <w:ind w:left="51" w:right="30" w:firstLine="561"/>
        <w:rPr>
          <w:rFonts w:hint="default" w:ascii="Times New Roman" w:hAnsi="Times New Roman" w:eastAsia="仿宋" w:cs="Times New Roman"/>
          <w:color w:val="auto"/>
          <w:lang w:eastAsia="zh-CN"/>
        </w:rPr>
      </w:pPr>
      <w:r>
        <w:rPr>
          <w:rFonts w:hint="default" w:ascii="Times New Roman" w:hAnsi="Times New Roman" w:eastAsia="仿宋" w:cs="Times New Roman"/>
          <w:color w:val="auto"/>
          <w:spacing w:val="1"/>
          <w:lang w:eastAsia="zh-CN"/>
        </w:rPr>
        <w:t>第三阶段土壤污染状况调查主要工作内容包括地块特征参数和受体暴</w:t>
      </w:r>
      <w:r>
        <w:rPr>
          <w:rFonts w:hint="default" w:ascii="Times New Roman" w:hAnsi="Times New Roman" w:eastAsia="仿宋" w:cs="Times New Roman"/>
          <w:color w:val="auto"/>
          <w:spacing w:val="-9"/>
          <w:lang w:eastAsia="zh-CN"/>
        </w:rPr>
        <w:t>露参数的调查。</w:t>
      </w:r>
    </w:p>
    <w:p w14:paraId="40AD62BB">
      <w:pPr>
        <w:pStyle w:val="8"/>
        <w:kinsoku/>
        <w:overflowPunct w:val="0"/>
        <w:topLinePunct/>
        <w:autoSpaceDE/>
        <w:autoSpaceDN/>
        <w:spacing w:before="121" w:line="360" w:lineRule="auto"/>
        <w:ind w:left="34"/>
        <w:outlineLvl w:val="2"/>
        <w:rPr>
          <w:rFonts w:hint="default" w:ascii="Times New Roman" w:hAnsi="Times New Roman" w:eastAsia="仿宋" w:cs="Times New Roman"/>
          <w:b/>
          <w:bCs/>
          <w:snapToGrid/>
          <w:kern w:val="2"/>
          <w:szCs w:val="32"/>
          <w:lang w:eastAsia="zh-CN"/>
        </w:rPr>
      </w:pPr>
      <w:bookmarkStart w:id="86" w:name="bookmark49"/>
      <w:bookmarkEnd w:id="86"/>
      <w:bookmarkStart w:id="87" w:name="_Toc17795"/>
      <w:bookmarkStart w:id="88" w:name="_Toc6227"/>
      <w:bookmarkStart w:id="89" w:name="_Toc32430"/>
      <w:bookmarkStart w:id="90" w:name="_Toc11304"/>
      <w:r>
        <w:rPr>
          <w:rFonts w:hint="default" w:ascii="Times New Roman" w:hAnsi="Times New Roman" w:eastAsia="仿宋" w:cs="Times New Roman"/>
          <w:b/>
          <w:bCs/>
          <w:snapToGrid/>
          <w:kern w:val="2"/>
          <w:szCs w:val="32"/>
          <w:lang w:eastAsia="zh-CN"/>
        </w:rPr>
        <w:t>4.6.1 地块特征参数</w:t>
      </w:r>
      <w:bookmarkEnd w:id="87"/>
      <w:bookmarkEnd w:id="88"/>
      <w:bookmarkEnd w:id="89"/>
      <w:bookmarkEnd w:id="90"/>
    </w:p>
    <w:p w14:paraId="56B18636">
      <w:pPr>
        <w:pStyle w:val="8"/>
        <w:kinsoku/>
        <w:overflowPunct w:val="0"/>
        <w:topLinePunct/>
        <w:autoSpaceDE/>
        <w:autoSpaceDN/>
        <w:spacing w:before="152" w:line="360" w:lineRule="auto"/>
        <w:ind w:left="39" w:right="23" w:firstLine="555"/>
        <w:jc w:val="both"/>
        <w:rPr>
          <w:rFonts w:hint="default" w:ascii="Times New Roman" w:hAnsi="Times New Roman" w:eastAsia="仿宋" w:cs="Times New Roman"/>
          <w:color w:val="auto"/>
          <w:lang w:eastAsia="zh-CN"/>
        </w:rPr>
      </w:pPr>
      <w:r>
        <w:rPr>
          <w:rFonts w:hint="default" w:ascii="Times New Roman" w:hAnsi="Times New Roman" w:eastAsia="仿宋" w:cs="Times New Roman"/>
          <w:color w:val="auto"/>
          <w:spacing w:val="-1"/>
          <w:lang w:eastAsia="zh-CN"/>
        </w:rPr>
        <w:t>根据《建设用地土壤污染状况调查技术导则》（</w:t>
      </w:r>
      <w:r>
        <w:rPr>
          <w:rFonts w:hint="default" w:ascii="Times New Roman" w:hAnsi="Times New Roman" w:eastAsia="仿宋" w:cs="Times New Roman"/>
          <w:color w:val="auto"/>
          <w:spacing w:val="-2"/>
          <w:lang w:eastAsia="zh-CN"/>
        </w:rPr>
        <w:t>HJ</w:t>
      </w:r>
      <w:r>
        <w:rPr>
          <w:rFonts w:hint="default" w:ascii="Times New Roman" w:hAnsi="Times New Roman" w:eastAsia="仿宋" w:cs="Times New Roman"/>
          <w:color w:val="auto"/>
          <w:spacing w:val="-12"/>
          <w:lang w:eastAsia="zh-CN"/>
        </w:rPr>
        <w:t xml:space="preserve"> </w:t>
      </w:r>
      <w:r>
        <w:rPr>
          <w:rFonts w:hint="default" w:ascii="Times New Roman" w:hAnsi="Times New Roman" w:eastAsia="仿宋" w:cs="Times New Roman"/>
          <w:color w:val="auto"/>
          <w:spacing w:val="-2"/>
          <w:lang w:eastAsia="zh-CN"/>
        </w:rPr>
        <w:t>25.1-2019</w:t>
      </w:r>
      <w:r>
        <w:rPr>
          <w:rFonts w:hint="default" w:ascii="Times New Roman" w:hAnsi="Times New Roman" w:eastAsia="仿宋" w:cs="Times New Roman"/>
          <w:color w:val="auto"/>
          <w:spacing w:val="-3"/>
          <w:lang w:eastAsia="zh-CN"/>
        </w:rPr>
        <w:t>），</w:t>
      </w:r>
      <w:r>
        <w:rPr>
          <w:rFonts w:hint="default" w:ascii="Times New Roman" w:hAnsi="Times New Roman" w:eastAsia="仿宋" w:cs="Times New Roman"/>
          <w:color w:val="auto"/>
          <w:spacing w:val="-2"/>
          <w:lang w:eastAsia="zh-CN"/>
        </w:rPr>
        <w:t>地块</w:t>
      </w:r>
      <w:r>
        <w:rPr>
          <w:rFonts w:hint="default" w:ascii="Times New Roman" w:hAnsi="Times New Roman" w:eastAsia="仿宋" w:cs="Times New Roman"/>
          <w:color w:val="auto"/>
          <w:spacing w:val="-7"/>
          <w:lang w:eastAsia="zh-CN"/>
        </w:rPr>
        <w:t>特征参数包括不同土层土壤样品的理化性质分析数据，如土壤容重、密度、</w:t>
      </w:r>
      <w:r>
        <w:rPr>
          <w:rFonts w:hint="default" w:ascii="Times New Roman" w:hAnsi="Times New Roman" w:eastAsia="仿宋" w:cs="Times New Roman"/>
          <w:color w:val="auto"/>
          <w:spacing w:val="2"/>
          <w:lang w:eastAsia="zh-CN"/>
        </w:rPr>
        <w:t>有机质含量、含水率和质地以及地区年平均风速和相关空气质</w:t>
      </w:r>
      <w:r>
        <w:rPr>
          <w:rFonts w:hint="default" w:ascii="Times New Roman" w:hAnsi="Times New Roman" w:eastAsia="仿宋" w:cs="Times New Roman"/>
          <w:color w:val="auto"/>
          <w:spacing w:val="1"/>
          <w:lang w:eastAsia="zh-CN"/>
        </w:rPr>
        <w:t>量监测数据</w:t>
      </w:r>
      <w:r>
        <w:rPr>
          <w:rFonts w:hint="default" w:ascii="Times New Roman" w:hAnsi="Times New Roman" w:eastAsia="仿宋" w:cs="Times New Roman"/>
          <w:color w:val="auto"/>
          <w:spacing w:val="2"/>
          <w:lang w:eastAsia="zh-CN"/>
        </w:rPr>
        <w:t>等参数，根据本地块调查</w:t>
      </w:r>
      <w:r>
        <w:rPr>
          <w:rFonts w:hint="default" w:ascii="Times New Roman" w:hAnsi="Times New Roman" w:eastAsia="仿宋" w:cs="Times New Roman"/>
          <w:color w:val="auto"/>
          <w:spacing w:val="1"/>
          <w:lang w:eastAsia="zh-CN"/>
        </w:rPr>
        <w:t>及</w:t>
      </w:r>
      <w:r>
        <w:rPr>
          <w:rFonts w:hint="default" w:ascii="Times New Roman" w:hAnsi="Times New Roman" w:eastAsia="仿宋" w:cs="Times New Roman"/>
          <w:color w:val="auto"/>
          <w:spacing w:val="-2"/>
          <w:lang w:eastAsia="zh-CN"/>
        </w:rPr>
        <w:t>查阅相关资料，本地块特征参数如表</w:t>
      </w:r>
      <w:r>
        <w:rPr>
          <w:rFonts w:hint="default" w:ascii="Times New Roman" w:hAnsi="Times New Roman" w:eastAsia="仿宋" w:cs="Times New Roman"/>
          <w:color w:val="auto"/>
          <w:spacing w:val="-7"/>
          <w:lang w:eastAsia="zh-CN"/>
        </w:rPr>
        <w:t>4.6-1所</w:t>
      </w:r>
      <w:r>
        <w:rPr>
          <w:rFonts w:hint="default" w:ascii="Times New Roman" w:hAnsi="Times New Roman" w:eastAsia="仿宋" w:cs="Times New Roman"/>
          <w:color w:val="auto"/>
          <w:spacing w:val="-2"/>
          <w:lang w:eastAsia="zh-CN"/>
        </w:rPr>
        <w:t>示。</w:t>
      </w:r>
    </w:p>
    <w:p w14:paraId="41D2E776">
      <w:pPr>
        <w:pStyle w:val="8"/>
        <w:kinsoku/>
        <w:overflowPunct w:val="0"/>
        <w:topLinePunct/>
        <w:autoSpaceDE/>
        <w:autoSpaceDN/>
        <w:spacing w:before="121" w:line="360" w:lineRule="auto"/>
        <w:ind w:left="34"/>
        <w:outlineLvl w:val="2"/>
        <w:rPr>
          <w:rFonts w:hint="default" w:ascii="Times New Roman" w:hAnsi="Times New Roman" w:eastAsia="仿宋" w:cs="Times New Roman"/>
          <w:b/>
          <w:bCs/>
          <w:snapToGrid/>
          <w:kern w:val="2"/>
          <w:szCs w:val="32"/>
          <w:lang w:eastAsia="zh-CN"/>
        </w:rPr>
      </w:pPr>
      <w:bookmarkStart w:id="91" w:name="bookmark50"/>
      <w:bookmarkEnd w:id="91"/>
      <w:bookmarkStart w:id="92" w:name="_Toc18986"/>
      <w:bookmarkStart w:id="93" w:name="_Toc11041"/>
      <w:bookmarkStart w:id="94" w:name="_Toc23863"/>
      <w:bookmarkStart w:id="95" w:name="_Toc17197"/>
      <w:r>
        <w:rPr>
          <w:rFonts w:hint="default" w:ascii="Times New Roman" w:hAnsi="Times New Roman" w:eastAsia="仿宋" w:cs="Times New Roman"/>
          <w:b/>
          <w:bCs/>
          <w:snapToGrid/>
          <w:kern w:val="2"/>
          <w:szCs w:val="32"/>
          <w:lang w:eastAsia="zh-CN"/>
        </w:rPr>
        <w:t>4.6.2 受体暴露参数</w:t>
      </w:r>
      <w:bookmarkEnd w:id="92"/>
      <w:bookmarkEnd w:id="93"/>
      <w:bookmarkEnd w:id="94"/>
      <w:bookmarkEnd w:id="95"/>
    </w:p>
    <w:p w14:paraId="53066C10">
      <w:pPr>
        <w:pStyle w:val="8"/>
        <w:kinsoku/>
        <w:overflowPunct w:val="0"/>
        <w:topLinePunct/>
        <w:autoSpaceDE/>
        <w:autoSpaceDN/>
        <w:spacing w:before="153" w:line="319" w:lineRule="auto"/>
        <w:ind w:left="37" w:right="35" w:firstLine="558"/>
        <w:jc w:val="both"/>
        <w:rPr>
          <w:rFonts w:hint="default" w:ascii="Times New Roman" w:hAnsi="Times New Roman" w:eastAsia="仿宋" w:cs="Times New Roman"/>
          <w:color w:val="auto"/>
          <w:lang w:eastAsia="zh-CN"/>
        </w:rPr>
      </w:pPr>
      <w:r>
        <w:rPr>
          <w:rFonts w:hint="default" w:ascii="Times New Roman" w:hAnsi="Times New Roman" w:eastAsia="仿宋" w:cs="Times New Roman"/>
          <w:color w:val="auto"/>
          <w:spacing w:val="-2"/>
          <w:lang w:eastAsia="zh-CN"/>
        </w:rPr>
        <w:t>根据《建设用地土壤污染状况调查技术导则》（HJ</w:t>
      </w:r>
      <w:r>
        <w:rPr>
          <w:rFonts w:hint="default" w:ascii="Times New Roman" w:hAnsi="Times New Roman" w:eastAsia="仿宋" w:cs="Times New Roman"/>
          <w:color w:val="auto"/>
          <w:spacing w:val="-13"/>
          <w:lang w:eastAsia="zh-CN"/>
        </w:rPr>
        <w:t xml:space="preserve"> </w:t>
      </w:r>
      <w:r>
        <w:rPr>
          <w:rFonts w:hint="default" w:ascii="Times New Roman" w:hAnsi="Times New Roman" w:eastAsia="仿宋" w:cs="Times New Roman"/>
          <w:color w:val="auto"/>
          <w:spacing w:val="-2"/>
          <w:lang w:eastAsia="zh-CN"/>
        </w:rPr>
        <w:t>25.1-2019</w:t>
      </w:r>
      <w:r>
        <w:rPr>
          <w:rFonts w:hint="default" w:ascii="Times New Roman" w:hAnsi="Times New Roman" w:eastAsia="仿宋" w:cs="Times New Roman"/>
          <w:color w:val="auto"/>
          <w:spacing w:val="5"/>
          <w:lang w:eastAsia="zh-CN"/>
        </w:rPr>
        <w:t>），</w:t>
      </w:r>
      <w:r>
        <w:rPr>
          <w:rFonts w:hint="default" w:ascii="Times New Roman" w:hAnsi="Times New Roman" w:eastAsia="仿宋" w:cs="Times New Roman"/>
          <w:color w:val="auto"/>
          <w:spacing w:val="-2"/>
          <w:lang w:eastAsia="zh-CN"/>
        </w:rPr>
        <w:t>受体暴露参数包括地块及周边地区土地利用方式、人群等相关信息。</w:t>
      </w:r>
    </w:p>
    <w:p w14:paraId="386C859E">
      <w:pPr>
        <w:pStyle w:val="8"/>
        <w:kinsoku/>
        <w:overflowPunct w:val="0"/>
        <w:topLinePunct/>
        <w:autoSpaceDE/>
        <w:autoSpaceDN/>
        <w:spacing w:before="31" w:line="330" w:lineRule="auto"/>
        <w:ind w:left="33" w:right="23" w:firstLine="562"/>
        <w:jc w:val="both"/>
        <w:rPr>
          <w:rFonts w:hint="default" w:ascii="Times New Roman" w:hAnsi="Times New Roman" w:eastAsia="仿宋" w:cs="Times New Roman"/>
          <w:color w:val="0000FF"/>
          <w:lang w:eastAsia="zh-CN"/>
        </w:rPr>
      </w:pPr>
      <w:r>
        <w:rPr>
          <w:rFonts w:hint="default" w:ascii="Times New Roman" w:hAnsi="Times New Roman" w:eastAsia="仿宋" w:cs="Times New Roman"/>
          <w:color w:val="auto"/>
          <w:lang w:eastAsia="zh-CN"/>
        </w:rPr>
        <w:t>根据《苏州市海绵城市示范区控制性详细规划（调整）用地规划图》</w:t>
      </w:r>
      <w:r>
        <w:rPr>
          <w:rFonts w:hint="default" w:ascii="Times New Roman" w:hAnsi="Times New Roman" w:eastAsia="仿宋" w:cs="Times New Roman"/>
          <w:color w:val="auto"/>
          <w:spacing w:val="-7"/>
          <w:lang w:eastAsia="zh-CN"/>
        </w:rPr>
        <w:t>，</w:t>
      </w:r>
      <w:r>
        <w:rPr>
          <w:rFonts w:hint="default" w:ascii="Times New Roman" w:hAnsi="Times New Roman" w:eastAsia="仿宋" w:cs="Times New Roman"/>
          <w:color w:val="auto"/>
          <w:lang w:eastAsia="zh-CN"/>
        </w:rPr>
        <w:t>本项目地块未来规划为风景游览用地（Eg）、防护绿地（G2），属于《国土空间调查、规划、用途管制用地用海分类指南》中的绿地与开敞空间用地，为二类用地</w:t>
      </w:r>
      <w:r>
        <w:rPr>
          <w:rFonts w:hint="default" w:ascii="Times New Roman" w:hAnsi="Times New Roman" w:eastAsia="仿宋" w:cs="Times New Roman"/>
          <w:color w:val="auto"/>
          <w:spacing w:val="-7"/>
          <w:lang w:eastAsia="zh-CN"/>
        </w:rPr>
        <w:t>。敏感受</w:t>
      </w:r>
      <w:r>
        <w:rPr>
          <w:rFonts w:hint="default" w:ascii="Times New Roman" w:hAnsi="Times New Roman" w:eastAsia="仿宋" w:cs="Times New Roman"/>
          <w:color w:val="auto"/>
          <w:spacing w:val="-14"/>
          <w:lang w:eastAsia="zh-CN"/>
        </w:rPr>
        <w:t>体为成人，在此参考《建设用地土壤污染风险评估技术导则》（HJ25.3-2019）</w:t>
      </w:r>
      <w:r>
        <w:rPr>
          <w:rFonts w:hint="default" w:ascii="Times New Roman" w:hAnsi="Times New Roman" w:eastAsia="仿宋" w:cs="Times New Roman"/>
          <w:color w:val="auto"/>
          <w:spacing w:val="4"/>
          <w:lang w:eastAsia="zh-CN"/>
        </w:rPr>
        <w:t>中成人详细参数值，见表4.6-2。</w:t>
      </w:r>
    </w:p>
    <w:p w14:paraId="364ED624">
      <w:pPr>
        <w:rPr>
          <w:rFonts w:hint="default" w:ascii="Times New Roman" w:hAnsi="Times New Roman" w:eastAsia="仿宋" w:cs="Times New Roman"/>
          <w:b/>
          <w:bCs/>
          <w:color w:val="auto"/>
          <w:spacing w:val="4"/>
          <w:sz w:val="24"/>
          <w:szCs w:val="24"/>
          <w:lang w:eastAsia="zh-CN"/>
        </w:rPr>
      </w:pPr>
      <w:r>
        <w:rPr>
          <w:rFonts w:hint="default" w:ascii="Times New Roman" w:hAnsi="Times New Roman" w:eastAsia="仿宋" w:cs="Times New Roman"/>
          <w:b/>
          <w:bCs/>
          <w:color w:val="auto"/>
          <w:spacing w:val="4"/>
          <w:sz w:val="24"/>
          <w:szCs w:val="24"/>
          <w:lang w:eastAsia="zh-CN"/>
        </w:rPr>
        <w:br w:type="page"/>
      </w:r>
    </w:p>
    <w:p w14:paraId="220006B5">
      <w:pPr>
        <w:kinsoku/>
        <w:overflowPunct w:val="0"/>
        <w:topLinePunct/>
        <w:autoSpaceDE/>
        <w:autoSpaceDN/>
        <w:rPr>
          <w:rFonts w:hint="default" w:ascii="Times New Roman" w:hAnsi="Times New Roman" w:eastAsia="仿宋" w:cs="Times New Roman"/>
          <w:color w:val="0000FF"/>
          <w:sz w:val="28"/>
          <w:szCs w:val="28"/>
        </w:rPr>
      </w:pPr>
    </w:p>
    <w:p w14:paraId="760E15FB">
      <w:pPr>
        <w:kinsoku/>
        <w:overflowPunct w:val="0"/>
        <w:topLinePunct/>
        <w:autoSpaceDE/>
        <w:autoSpaceDN/>
        <w:rPr>
          <w:rFonts w:hint="default" w:ascii="Times New Roman" w:hAnsi="Times New Roman" w:eastAsia="仿宋" w:cs="Times New Roman"/>
          <w:color w:val="0000FF"/>
          <w:sz w:val="28"/>
          <w:szCs w:val="28"/>
        </w:rPr>
        <w:sectPr>
          <w:footerReference r:id="rId13" w:type="default"/>
          <w:pgSz w:w="11905" w:h="16838"/>
          <w:pgMar w:top="1440" w:right="1803" w:bottom="1440" w:left="1803" w:header="833" w:footer="1123" w:gutter="0"/>
          <w:cols w:space="0" w:num="1"/>
        </w:sectPr>
      </w:pPr>
    </w:p>
    <w:p w14:paraId="156E4249">
      <w:pPr>
        <w:kinsoku/>
        <w:overflowPunct w:val="0"/>
        <w:topLinePunct/>
        <w:autoSpaceDE/>
        <w:autoSpaceDN/>
        <w:adjustRightInd/>
        <w:snapToGrid/>
        <w:spacing w:before="120" w:after="120" w:line="360" w:lineRule="auto"/>
        <w:jc w:val="center"/>
        <w:textAlignment w:val="auto"/>
        <w:outlineLvl w:val="0"/>
        <w:rPr>
          <w:rFonts w:hint="default" w:ascii="Times New Roman" w:hAnsi="Times New Roman" w:eastAsia="仿宋" w:cs="Times New Roman"/>
          <w:b/>
          <w:bCs/>
          <w:snapToGrid/>
          <w:kern w:val="2"/>
          <w:sz w:val="30"/>
          <w:szCs w:val="30"/>
          <w:lang w:eastAsia="zh-CN"/>
        </w:rPr>
      </w:pPr>
      <w:bookmarkStart w:id="96" w:name="bookmark51"/>
      <w:bookmarkEnd w:id="96"/>
      <w:bookmarkStart w:id="97" w:name="_Toc29581"/>
      <w:bookmarkStart w:id="98" w:name="_Toc13688"/>
      <w:r>
        <w:rPr>
          <w:rFonts w:hint="default" w:ascii="Times New Roman" w:hAnsi="Times New Roman" w:eastAsia="仿宋" w:cs="Times New Roman"/>
          <w:b/>
          <w:bCs/>
          <w:snapToGrid/>
          <w:kern w:val="2"/>
          <w:sz w:val="30"/>
          <w:szCs w:val="30"/>
          <w:lang w:eastAsia="zh-CN"/>
        </w:rPr>
        <w:t>5 风险评估</w:t>
      </w:r>
      <w:bookmarkEnd w:id="97"/>
      <w:bookmarkEnd w:id="98"/>
    </w:p>
    <w:p w14:paraId="41F1A6FD">
      <w:pPr>
        <w:pStyle w:val="8"/>
        <w:kinsoku/>
        <w:overflowPunct w:val="0"/>
        <w:topLinePunct/>
        <w:autoSpaceDE/>
        <w:autoSpaceDN/>
        <w:spacing w:before="255" w:line="360" w:lineRule="auto"/>
        <w:ind w:left="33" w:right="24" w:firstLine="565"/>
        <w:jc w:val="both"/>
        <w:rPr>
          <w:rFonts w:hint="default" w:ascii="Times New Roman" w:hAnsi="Times New Roman" w:eastAsia="仿宋" w:cs="Times New Roman"/>
          <w:color w:val="auto"/>
          <w:lang w:eastAsia="zh-CN"/>
        </w:rPr>
      </w:pPr>
      <w:r>
        <w:rPr>
          <w:rFonts w:hint="default" w:ascii="Times New Roman" w:hAnsi="Times New Roman" w:eastAsia="仿宋" w:cs="Times New Roman"/>
          <w:color w:val="auto"/>
          <w:spacing w:val="-10"/>
          <w:lang w:eastAsia="zh-CN"/>
        </w:rPr>
        <w:t>本项目风险评估基于《建设用地土壤污染风险评估技术导则》（HJ 25.3-</w:t>
      </w:r>
      <w:r>
        <w:rPr>
          <w:rFonts w:hint="default" w:ascii="Times New Roman" w:hAnsi="Times New Roman" w:eastAsia="仿宋" w:cs="Times New Roman"/>
          <w:color w:val="auto"/>
          <w:spacing w:val="-6"/>
          <w:lang w:eastAsia="zh-CN"/>
        </w:rPr>
        <w:t>2019）进行。</w:t>
      </w:r>
      <w:r>
        <w:rPr>
          <w:rFonts w:hint="default" w:ascii="Times New Roman" w:hAnsi="Times New Roman" w:eastAsia="仿宋" w:cs="Times New Roman"/>
          <w:color w:val="auto"/>
          <w:spacing w:val="2"/>
          <w:lang w:eastAsia="zh-CN"/>
        </w:rPr>
        <w:t>根据地块污染源特征、</w:t>
      </w:r>
      <w:r>
        <w:rPr>
          <w:rFonts w:hint="default" w:ascii="Times New Roman" w:hAnsi="Times New Roman" w:eastAsia="仿宋" w:cs="Times New Roman"/>
          <w:color w:val="auto"/>
          <w:spacing w:val="1"/>
          <w:lang w:eastAsia="zh-CN"/>
        </w:rPr>
        <w:t>水文</w:t>
      </w:r>
      <w:r>
        <w:rPr>
          <w:rFonts w:hint="default" w:ascii="Times New Roman" w:hAnsi="Times New Roman" w:eastAsia="仿宋" w:cs="Times New Roman"/>
          <w:color w:val="auto"/>
          <w:spacing w:val="2"/>
          <w:lang w:eastAsia="zh-CN"/>
        </w:rPr>
        <w:t>地质条件等实际情况，构建地块概念模型，计算不同暴露途径下土壤和地下水污染物的风险控制值与风险和危害商，并对地块的土壤与地下水中的污染物进行风险表征；结合我国的土壤和地下水质量标准值，确定最终的修复目标值，筛选出超过修复目</w:t>
      </w:r>
      <w:r>
        <w:rPr>
          <w:rFonts w:hint="default" w:ascii="Times New Roman" w:hAnsi="Times New Roman" w:eastAsia="仿宋" w:cs="Times New Roman"/>
          <w:color w:val="auto"/>
          <w:lang w:eastAsia="zh-CN"/>
        </w:rPr>
        <w:t>标值的污染物，分析其污染分布与超标范围，估算需</w:t>
      </w:r>
      <w:r>
        <w:rPr>
          <w:rFonts w:hint="default" w:ascii="Times New Roman" w:hAnsi="Times New Roman" w:eastAsia="仿宋" w:cs="Times New Roman"/>
          <w:color w:val="auto"/>
          <w:spacing w:val="-1"/>
          <w:lang w:eastAsia="zh-CN"/>
        </w:rPr>
        <w:t>修复体量。</w:t>
      </w:r>
    </w:p>
    <w:p w14:paraId="6EA001C9">
      <w:pPr>
        <w:kinsoku/>
        <w:overflowPunct w:val="0"/>
        <w:topLinePunct/>
        <w:autoSpaceDE/>
        <w:autoSpaceDN/>
        <w:adjustRightInd/>
        <w:snapToGrid/>
        <w:spacing w:before="120" w:after="120" w:line="360" w:lineRule="auto"/>
        <w:jc w:val="both"/>
        <w:textAlignment w:val="auto"/>
        <w:outlineLvl w:val="1"/>
        <w:rPr>
          <w:rFonts w:hint="default" w:ascii="Times New Roman" w:hAnsi="Times New Roman" w:eastAsia="仿宋" w:cs="Times New Roman"/>
          <w:b/>
          <w:bCs/>
          <w:snapToGrid/>
          <w:kern w:val="2"/>
          <w:sz w:val="30"/>
          <w:szCs w:val="30"/>
          <w:lang w:eastAsia="zh-CN"/>
        </w:rPr>
      </w:pPr>
      <w:bookmarkStart w:id="99" w:name="bookmark52"/>
      <w:bookmarkEnd w:id="99"/>
      <w:bookmarkStart w:id="100" w:name="_Toc25548"/>
      <w:bookmarkStart w:id="101" w:name="_Toc25899"/>
      <w:r>
        <w:rPr>
          <w:rFonts w:hint="default" w:ascii="Times New Roman" w:hAnsi="Times New Roman" w:eastAsia="仿宋" w:cs="Times New Roman"/>
          <w:b/>
          <w:bCs/>
          <w:snapToGrid/>
          <w:kern w:val="2"/>
          <w:sz w:val="30"/>
          <w:szCs w:val="30"/>
          <w:lang w:eastAsia="zh-CN"/>
        </w:rPr>
        <w:t>5.1 危害识别与关注污染物筛选</w:t>
      </w:r>
      <w:bookmarkEnd w:id="100"/>
      <w:bookmarkEnd w:id="101"/>
    </w:p>
    <w:p w14:paraId="0B717FF9">
      <w:pPr>
        <w:pStyle w:val="8"/>
        <w:kinsoku/>
        <w:overflowPunct w:val="0"/>
        <w:topLinePunct/>
        <w:autoSpaceDE/>
        <w:autoSpaceDN/>
        <w:spacing w:before="121" w:line="360" w:lineRule="auto"/>
        <w:ind w:left="34"/>
        <w:outlineLvl w:val="2"/>
        <w:rPr>
          <w:rFonts w:hint="default" w:ascii="Times New Roman" w:hAnsi="Times New Roman" w:eastAsia="仿宋" w:cs="Times New Roman"/>
          <w:b/>
          <w:bCs/>
          <w:snapToGrid/>
          <w:kern w:val="2"/>
          <w:szCs w:val="32"/>
          <w:lang w:eastAsia="zh-CN"/>
        </w:rPr>
      </w:pPr>
      <w:bookmarkStart w:id="102" w:name="bookmark53"/>
      <w:bookmarkEnd w:id="102"/>
      <w:bookmarkStart w:id="103" w:name="_Toc28258"/>
      <w:bookmarkStart w:id="104" w:name="_Toc104"/>
      <w:bookmarkStart w:id="105" w:name="_Toc13307"/>
      <w:bookmarkStart w:id="106" w:name="_Toc21279"/>
      <w:r>
        <w:rPr>
          <w:rFonts w:hint="default" w:ascii="Times New Roman" w:hAnsi="Times New Roman" w:eastAsia="仿宋" w:cs="Times New Roman"/>
          <w:b/>
          <w:bCs/>
          <w:snapToGrid/>
          <w:kern w:val="2"/>
          <w:szCs w:val="32"/>
          <w:lang w:eastAsia="zh-CN"/>
        </w:rPr>
        <w:t>5.1.1 危害识别</w:t>
      </w:r>
      <w:bookmarkEnd w:id="103"/>
      <w:bookmarkEnd w:id="104"/>
      <w:bookmarkEnd w:id="105"/>
      <w:bookmarkEnd w:id="106"/>
    </w:p>
    <w:p w14:paraId="1C4721FD">
      <w:pPr>
        <w:pStyle w:val="8"/>
        <w:kinsoku/>
        <w:overflowPunct w:val="0"/>
        <w:topLinePunct/>
        <w:autoSpaceDE/>
        <w:autoSpaceDN/>
        <w:spacing w:before="149" w:line="360" w:lineRule="auto"/>
        <w:ind w:left="44" w:right="30" w:firstLine="566"/>
        <w:jc w:val="both"/>
        <w:rPr>
          <w:rFonts w:hint="default" w:ascii="Times New Roman" w:hAnsi="Times New Roman" w:eastAsia="仿宋" w:cs="Times New Roman"/>
          <w:color w:val="auto"/>
          <w:lang w:eastAsia="zh-CN"/>
        </w:rPr>
      </w:pPr>
      <w:r>
        <w:rPr>
          <w:rFonts w:hint="default" w:ascii="Times New Roman" w:hAnsi="Times New Roman" w:eastAsia="仿宋" w:cs="Times New Roman"/>
          <w:color w:val="auto"/>
          <w:spacing w:val="1"/>
          <w:lang w:eastAsia="zh-CN"/>
        </w:rPr>
        <w:t>综合本地块的调查结果，土壤和地下水均受到了不同程度的污染，地</w:t>
      </w:r>
      <w:r>
        <w:rPr>
          <w:rFonts w:hint="default" w:ascii="Times New Roman" w:hAnsi="Times New Roman" w:eastAsia="仿宋" w:cs="Times New Roman"/>
          <w:color w:val="auto"/>
          <w:spacing w:val="-2"/>
          <w:lang w:eastAsia="zh-CN"/>
        </w:rPr>
        <w:t>块污染对人体、生态环境等保护对象会产生不同程度的危害和风险。</w:t>
      </w:r>
    </w:p>
    <w:p w14:paraId="6FEFB907">
      <w:pPr>
        <w:pStyle w:val="8"/>
        <w:kinsoku/>
        <w:overflowPunct w:val="0"/>
        <w:topLinePunct/>
        <w:autoSpaceDE/>
        <w:autoSpaceDN/>
        <w:spacing w:before="8" w:line="360" w:lineRule="auto"/>
        <w:ind w:left="33" w:right="25" w:firstLine="561"/>
        <w:jc w:val="both"/>
        <w:rPr>
          <w:rFonts w:hint="default" w:ascii="Times New Roman" w:hAnsi="Times New Roman" w:eastAsia="仿宋" w:cs="Times New Roman"/>
          <w:color w:val="0000FF"/>
          <w:lang w:eastAsia="zh-CN"/>
        </w:rPr>
      </w:pPr>
      <w:r>
        <w:rPr>
          <w:rFonts w:hint="default" w:ascii="Times New Roman" w:hAnsi="Times New Roman" w:eastAsia="仿宋" w:cs="Times New Roman"/>
          <w:color w:val="auto"/>
          <w:spacing w:val="2"/>
          <w:lang w:eastAsia="zh-CN"/>
        </w:rPr>
        <w:t>该地块土壤及地下水中检测出较高含量重金属，会对人</w:t>
      </w:r>
      <w:r>
        <w:rPr>
          <w:rFonts w:hint="default" w:ascii="Times New Roman" w:hAnsi="Times New Roman" w:eastAsia="仿宋" w:cs="Times New Roman"/>
          <w:color w:val="auto"/>
          <w:spacing w:val="-7"/>
          <w:lang w:eastAsia="zh-CN"/>
        </w:rPr>
        <w:t>体健康产生直接的危害。</w:t>
      </w:r>
      <w:r>
        <w:rPr>
          <w:rFonts w:hint="default" w:ascii="Times New Roman" w:hAnsi="Times New Roman" w:eastAsia="仿宋" w:cs="Times New Roman"/>
          <w:color w:val="auto"/>
          <w:spacing w:val="2"/>
          <w:lang w:eastAsia="zh-CN"/>
        </w:rPr>
        <w:t>此外，长期暴露会引起一些慢</w:t>
      </w:r>
      <w:r>
        <w:rPr>
          <w:rFonts w:hint="default" w:ascii="Times New Roman" w:hAnsi="Times New Roman" w:eastAsia="仿宋" w:cs="Times New Roman"/>
          <w:color w:val="auto"/>
          <w:spacing w:val="1"/>
          <w:lang w:eastAsia="zh-CN"/>
        </w:rPr>
        <w:t>性的</w:t>
      </w:r>
      <w:r>
        <w:rPr>
          <w:rFonts w:hint="default" w:ascii="Times New Roman" w:hAnsi="Times New Roman" w:eastAsia="仿宋" w:cs="Times New Roman"/>
          <w:color w:val="auto"/>
          <w:spacing w:val="-4"/>
          <w:lang w:eastAsia="zh-CN"/>
        </w:rPr>
        <w:t>危害，如致癌危害等。</w:t>
      </w:r>
    </w:p>
    <w:p w14:paraId="5A9A44BE">
      <w:pPr>
        <w:pStyle w:val="8"/>
        <w:kinsoku/>
        <w:overflowPunct w:val="0"/>
        <w:topLinePunct/>
        <w:autoSpaceDE/>
        <w:autoSpaceDN/>
        <w:spacing w:before="121" w:line="360" w:lineRule="auto"/>
        <w:ind w:left="34"/>
        <w:outlineLvl w:val="2"/>
        <w:rPr>
          <w:rFonts w:hint="default" w:ascii="Times New Roman" w:hAnsi="Times New Roman" w:eastAsia="仿宋" w:cs="Times New Roman"/>
          <w:b/>
          <w:bCs/>
          <w:snapToGrid/>
          <w:color w:val="auto"/>
          <w:kern w:val="2"/>
          <w:szCs w:val="32"/>
          <w:lang w:eastAsia="zh-CN"/>
        </w:rPr>
      </w:pPr>
      <w:bookmarkStart w:id="107" w:name="bookmark54"/>
      <w:bookmarkEnd w:id="107"/>
      <w:bookmarkStart w:id="108" w:name="_Toc14897"/>
      <w:bookmarkStart w:id="109" w:name="_Toc8558"/>
      <w:bookmarkStart w:id="110" w:name="_Toc24100"/>
      <w:bookmarkStart w:id="111" w:name="_Toc10332"/>
      <w:r>
        <w:rPr>
          <w:rFonts w:hint="default" w:ascii="Times New Roman" w:hAnsi="Times New Roman" w:eastAsia="仿宋" w:cs="Times New Roman"/>
          <w:b/>
          <w:bCs/>
          <w:snapToGrid/>
          <w:kern w:val="2"/>
          <w:szCs w:val="32"/>
          <w:lang w:eastAsia="zh-CN"/>
        </w:rPr>
        <w:t>5</w:t>
      </w:r>
      <w:r>
        <w:rPr>
          <w:rFonts w:hint="default" w:ascii="Times New Roman" w:hAnsi="Times New Roman" w:eastAsia="仿宋" w:cs="Times New Roman"/>
          <w:b/>
          <w:bCs/>
          <w:snapToGrid/>
          <w:color w:val="auto"/>
          <w:kern w:val="2"/>
          <w:szCs w:val="32"/>
          <w:lang w:eastAsia="zh-CN"/>
        </w:rPr>
        <w:t>.1.2 土壤关注污染物</w:t>
      </w:r>
      <w:bookmarkEnd w:id="108"/>
      <w:bookmarkEnd w:id="109"/>
      <w:bookmarkEnd w:id="110"/>
      <w:bookmarkEnd w:id="111"/>
    </w:p>
    <w:p w14:paraId="6B4C08F5">
      <w:pPr>
        <w:pStyle w:val="8"/>
        <w:kinsoku/>
        <w:overflowPunct w:val="0"/>
        <w:topLinePunct/>
        <w:autoSpaceDE/>
        <w:autoSpaceDN/>
        <w:spacing w:before="149" w:line="360" w:lineRule="auto"/>
        <w:ind w:left="37" w:right="25" w:firstLine="558"/>
        <w:jc w:val="both"/>
        <w:rPr>
          <w:rFonts w:hint="default" w:ascii="Times New Roman" w:hAnsi="Times New Roman" w:eastAsia="仿宋" w:cs="Times New Roman"/>
          <w:color w:val="auto"/>
          <w:lang w:eastAsia="zh-CN"/>
        </w:rPr>
      </w:pPr>
      <w:r>
        <w:rPr>
          <w:rFonts w:hint="default" w:ascii="Times New Roman" w:hAnsi="Times New Roman" w:eastAsia="仿宋" w:cs="Times New Roman"/>
          <w:color w:val="auto"/>
          <w:spacing w:val="2"/>
          <w:lang w:eastAsia="zh-CN"/>
        </w:rPr>
        <w:t>根据地块调查结果，本次风险评估范围主要针对地块内污染土壤</w:t>
      </w:r>
      <w:r>
        <w:rPr>
          <w:rFonts w:hint="default" w:ascii="Times New Roman" w:hAnsi="Times New Roman" w:eastAsia="仿宋" w:cs="Times New Roman"/>
          <w:color w:val="auto"/>
          <w:spacing w:val="1"/>
          <w:lang w:eastAsia="zh-CN"/>
        </w:rPr>
        <w:t>及地</w:t>
      </w:r>
      <w:r>
        <w:rPr>
          <w:rFonts w:hint="default" w:ascii="Times New Roman" w:hAnsi="Times New Roman" w:eastAsia="仿宋" w:cs="Times New Roman"/>
          <w:color w:val="auto"/>
          <w:spacing w:val="-3"/>
          <w:lang w:eastAsia="zh-CN"/>
        </w:rPr>
        <w:t>下水。该地块规划为第二类用地，参考《土壤环境质量 建设用地土壤污染</w:t>
      </w:r>
      <w:r>
        <w:rPr>
          <w:rFonts w:hint="default" w:ascii="Times New Roman" w:hAnsi="Times New Roman" w:eastAsia="仿宋" w:cs="Times New Roman"/>
          <w:color w:val="auto"/>
          <w:lang w:eastAsia="zh-CN"/>
        </w:rPr>
        <w:t>风险管控标准（试行）》（GB36600-2018）中第二类用地筛选值，</w:t>
      </w:r>
      <w:r>
        <w:rPr>
          <w:rFonts w:hint="default" w:ascii="Times New Roman" w:hAnsi="Times New Roman" w:eastAsia="仿宋" w:cs="Times New Roman"/>
          <w:color w:val="auto"/>
          <w:spacing w:val="-1"/>
          <w:lang w:eastAsia="zh-CN"/>
        </w:rPr>
        <w:t>如果场</w:t>
      </w:r>
      <w:r>
        <w:rPr>
          <w:rFonts w:hint="default" w:ascii="Times New Roman" w:hAnsi="Times New Roman" w:eastAsia="仿宋" w:cs="Times New Roman"/>
          <w:color w:val="auto"/>
          <w:spacing w:val="2"/>
          <w:lang w:eastAsia="zh-CN"/>
        </w:rPr>
        <w:t>地检出污染物的最大浓度达到或者超过第二类用地筛选值，则需要</w:t>
      </w:r>
      <w:r>
        <w:rPr>
          <w:rFonts w:hint="default" w:ascii="Times New Roman" w:hAnsi="Times New Roman" w:eastAsia="仿宋" w:cs="Times New Roman"/>
          <w:color w:val="auto"/>
          <w:spacing w:val="1"/>
          <w:lang w:eastAsia="zh-CN"/>
        </w:rPr>
        <w:t>启动后</w:t>
      </w:r>
      <w:r>
        <w:rPr>
          <w:rFonts w:hint="default" w:ascii="Times New Roman" w:hAnsi="Times New Roman" w:eastAsia="仿宋" w:cs="Times New Roman"/>
          <w:color w:val="auto"/>
          <w:spacing w:val="-2"/>
          <w:lang w:eastAsia="zh-CN"/>
        </w:rPr>
        <w:t>续风险评估过程，并将超过筛选值的污染物作为关注污染物。</w:t>
      </w:r>
    </w:p>
    <w:p w14:paraId="661357EA">
      <w:pPr>
        <w:pStyle w:val="8"/>
        <w:kinsoku/>
        <w:overflowPunct w:val="0"/>
        <w:topLinePunct/>
        <w:autoSpaceDE/>
        <w:autoSpaceDN/>
        <w:spacing w:before="121" w:line="360" w:lineRule="auto"/>
        <w:ind w:left="34"/>
        <w:outlineLvl w:val="2"/>
        <w:rPr>
          <w:rFonts w:hint="default" w:ascii="Times New Roman" w:hAnsi="Times New Roman" w:eastAsia="仿宋" w:cs="Times New Roman"/>
          <w:b/>
          <w:bCs/>
          <w:snapToGrid/>
          <w:kern w:val="2"/>
          <w:szCs w:val="32"/>
          <w:lang w:eastAsia="zh-CN"/>
        </w:rPr>
      </w:pPr>
      <w:bookmarkStart w:id="112" w:name="_Toc648"/>
      <w:bookmarkStart w:id="113" w:name="_Toc31005"/>
      <w:bookmarkStart w:id="114" w:name="_Toc31115"/>
      <w:bookmarkStart w:id="115" w:name="_Toc13825"/>
      <w:r>
        <w:rPr>
          <w:rFonts w:hint="default" w:ascii="Times New Roman" w:hAnsi="Times New Roman" w:eastAsia="仿宋" w:cs="Times New Roman"/>
          <w:b/>
          <w:bCs/>
          <w:snapToGrid/>
          <w:kern w:val="2"/>
          <w:szCs w:val="32"/>
          <w:lang w:eastAsia="zh-CN"/>
        </w:rPr>
        <w:t>5.1.3 地下水关注污染物</w:t>
      </w:r>
      <w:bookmarkEnd w:id="112"/>
      <w:bookmarkEnd w:id="113"/>
      <w:bookmarkEnd w:id="114"/>
      <w:bookmarkEnd w:id="115"/>
    </w:p>
    <w:p w14:paraId="0F20A339">
      <w:pPr>
        <w:kinsoku/>
        <w:overflowPunct w:val="0"/>
        <w:topLinePunct/>
        <w:autoSpaceDE/>
        <w:autoSpaceDN/>
        <w:spacing w:before="152" w:line="360" w:lineRule="auto"/>
        <w:ind w:left="37" w:right="73" w:firstLine="561"/>
        <w:jc w:val="both"/>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本地块内地下水不作为饮用水，将地下水检测结果超出</w:t>
      </w:r>
      <w:r>
        <w:rPr>
          <w:rFonts w:hint="default" w:ascii="Times New Roman" w:hAnsi="Times New Roman" w:eastAsia="仿宋" w:cs="Times New Roman"/>
          <w:color w:val="auto"/>
          <w:spacing w:val="1"/>
          <w:sz w:val="28"/>
          <w:szCs w:val="28"/>
          <w:lang w:eastAsia="zh-CN"/>
        </w:rPr>
        <w:t>《地下水质量</w:t>
      </w:r>
      <w:r>
        <w:rPr>
          <w:rFonts w:hint="default" w:ascii="Times New Roman" w:hAnsi="Times New Roman" w:eastAsia="仿宋" w:cs="Times New Roman"/>
          <w:color w:val="auto"/>
          <w:sz w:val="28"/>
          <w:szCs w:val="28"/>
          <w:lang w:eastAsia="zh-CN"/>
        </w:rPr>
        <w:t>标准》（GB/T 14848-2017）Ⅳ类水质标准，且为有毒有害性质的污染物作</w:t>
      </w:r>
      <w:r>
        <w:rPr>
          <w:rFonts w:hint="default" w:ascii="Times New Roman" w:hAnsi="Times New Roman" w:eastAsia="仿宋" w:cs="Times New Roman"/>
          <w:color w:val="auto"/>
          <w:spacing w:val="-4"/>
          <w:sz w:val="28"/>
          <w:szCs w:val="28"/>
          <w:lang w:eastAsia="zh-CN"/>
        </w:rPr>
        <w:t>为地下水关注污染物。</w:t>
      </w:r>
      <w:r>
        <w:rPr>
          <w:rFonts w:hint="default" w:ascii="Times New Roman" w:hAnsi="Times New Roman" w:eastAsia="仿宋" w:cs="Times New Roman"/>
          <w:color w:val="auto"/>
          <w:spacing w:val="-1"/>
          <w:sz w:val="28"/>
          <w:szCs w:val="28"/>
          <w:lang w:eastAsia="zh-CN"/>
        </w:rPr>
        <w:t>根据以上筛选标准，该地块地下水关注污染物共</w:t>
      </w:r>
      <w:r>
        <w:rPr>
          <w:rFonts w:hint="eastAsia" w:ascii="Times New Roman" w:hAnsi="Times New Roman" w:eastAsia="仿宋" w:cs="Times New Roman"/>
          <w:color w:val="auto"/>
          <w:spacing w:val="-59"/>
          <w:sz w:val="28"/>
          <w:szCs w:val="28"/>
          <w:lang w:val="en-US" w:eastAsia="zh-CN"/>
        </w:rPr>
        <w:t>6</w:t>
      </w:r>
      <w:r>
        <w:rPr>
          <w:rFonts w:hint="default" w:ascii="Times New Roman" w:hAnsi="Times New Roman" w:eastAsia="仿宋" w:cs="Times New Roman"/>
          <w:color w:val="auto"/>
          <w:spacing w:val="-59"/>
          <w:sz w:val="28"/>
          <w:szCs w:val="28"/>
          <w:lang w:eastAsia="zh-CN"/>
        </w:rPr>
        <w:t xml:space="preserve">     </w:t>
      </w:r>
      <w:r>
        <w:rPr>
          <w:rFonts w:hint="default" w:ascii="Times New Roman" w:hAnsi="Times New Roman" w:eastAsia="仿宋" w:cs="Times New Roman"/>
          <w:color w:val="auto"/>
          <w:spacing w:val="-1"/>
          <w:sz w:val="28"/>
          <w:szCs w:val="28"/>
          <w:lang w:eastAsia="zh-CN"/>
        </w:rPr>
        <w:t>种，详</w:t>
      </w:r>
      <w:r>
        <w:rPr>
          <w:rFonts w:hint="default" w:ascii="Times New Roman" w:hAnsi="Times New Roman" w:eastAsia="仿宋" w:cs="Times New Roman"/>
          <w:color w:val="auto"/>
          <w:spacing w:val="2"/>
          <w:sz w:val="28"/>
          <w:szCs w:val="28"/>
          <w:lang w:eastAsia="zh-CN"/>
        </w:rPr>
        <w:t>见表5.1-3。</w:t>
      </w:r>
    </w:p>
    <w:p w14:paraId="5A7417B8">
      <w:pPr>
        <w:kinsoku/>
        <w:overflowPunct w:val="0"/>
        <w:topLinePunct/>
        <w:autoSpaceDE/>
        <w:autoSpaceDN/>
        <w:spacing w:line="139" w:lineRule="exact"/>
        <w:rPr>
          <w:rFonts w:hint="default" w:ascii="Times New Roman" w:hAnsi="Times New Roman" w:eastAsia="仿宋" w:cs="Times New Roman"/>
          <w:color w:val="0000FF"/>
          <w:sz w:val="28"/>
          <w:szCs w:val="28"/>
        </w:rPr>
      </w:pPr>
      <w:bookmarkStart w:id="151" w:name="_GoBack"/>
      <w:bookmarkEnd w:id="151"/>
    </w:p>
    <w:p w14:paraId="32BECECD">
      <w:pPr>
        <w:kinsoku/>
        <w:overflowPunct w:val="0"/>
        <w:topLinePunct/>
        <w:autoSpaceDE/>
        <w:autoSpaceDN/>
        <w:adjustRightInd/>
        <w:snapToGrid/>
        <w:spacing w:before="120" w:after="120" w:line="360" w:lineRule="auto"/>
        <w:jc w:val="both"/>
        <w:textAlignment w:val="auto"/>
        <w:outlineLvl w:val="1"/>
        <w:rPr>
          <w:rFonts w:hint="default" w:ascii="Times New Roman" w:hAnsi="Times New Roman" w:eastAsia="仿宋" w:cs="Times New Roman"/>
          <w:b/>
          <w:bCs/>
          <w:snapToGrid/>
          <w:kern w:val="2"/>
          <w:sz w:val="30"/>
          <w:szCs w:val="30"/>
          <w:lang w:eastAsia="zh-CN"/>
        </w:rPr>
      </w:pPr>
      <w:bookmarkStart w:id="116" w:name="bookmark56"/>
      <w:bookmarkEnd w:id="116"/>
      <w:bookmarkStart w:id="117" w:name="_Toc10020"/>
      <w:bookmarkStart w:id="118" w:name="_Toc31345"/>
      <w:r>
        <w:rPr>
          <w:rFonts w:hint="default" w:ascii="Times New Roman" w:hAnsi="Times New Roman" w:eastAsia="仿宋" w:cs="Times New Roman"/>
          <w:b/>
          <w:bCs/>
          <w:snapToGrid/>
          <w:kern w:val="2"/>
          <w:sz w:val="30"/>
          <w:szCs w:val="30"/>
          <w:lang w:eastAsia="zh-CN"/>
        </w:rPr>
        <w:t>5.2 暴露评估</w:t>
      </w:r>
      <w:bookmarkEnd w:id="117"/>
      <w:bookmarkEnd w:id="118"/>
    </w:p>
    <w:p w14:paraId="5D1069F5">
      <w:pPr>
        <w:pStyle w:val="8"/>
        <w:kinsoku/>
        <w:overflowPunct w:val="0"/>
        <w:topLinePunct/>
        <w:autoSpaceDE/>
        <w:autoSpaceDN/>
        <w:spacing w:before="121" w:line="360" w:lineRule="auto"/>
        <w:ind w:left="34"/>
        <w:outlineLvl w:val="2"/>
        <w:rPr>
          <w:rFonts w:hint="default" w:ascii="Times New Roman" w:hAnsi="Times New Roman" w:eastAsia="仿宋" w:cs="Times New Roman"/>
          <w:b/>
          <w:bCs/>
          <w:snapToGrid/>
          <w:kern w:val="2"/>
          <w:szCs w:val="32"/>
          <w:lang w:eastAsia="zh-CN"/>
        </w:rPr>
      </w:pPr>
      <w:bookmarkStart w:id="119" w:name="bookmark57"/>
      <w:bookmarkEnd w:id="119"/>
      <w:bookmarkStart w:id="120" w:name="_Toc8085"/>
      <w:bookmarkStart w:id="121" w:name="_Toc32349"/>
      <w:bookmarkStart w:id="122" w:name="_Toc26456"/>
      <w:bookmarkStart w:id="123" w:name="_Toc4536"/>
      <w:r>
        <w:rPr>
          <w:rFonts w:hint="default" w:ascii="Times New Roman" w:hAnsi="Times New Roman" w:eastAsia="仿宋" w:cs="Times New Roman"/>
          <w:b/>
          <w:bCs/>
          <w:snapToGrid/>
          <w:kern w:val="2"/>
          <w:szCs w:val="32"/>
          <w:lang w:eastAsia="zh-CN"/>
        </w:rPr>
        <w:t>5.2.1 暴露途径与敏感受体</w:t>
      </w:r>
      <w:bookmarkEnd w:id="120"/>
      <w:bookmarkEnd w:id="121"/>
      <w:bookmarkEnd w:id="122"/>
      <w:bookmarkEnd w:id="123"/>
    </w:p>
    <w:p w14:paraId="59BDD3E3">
      <w:pPr>
        <w:kinsoku/>
        <w:overflowPunct w:val="0"/>
        <w:topLinePunct/>
        <w:autoSpaceDE/>
        <w:autoSpaceDN/>
        <w:spacing w:before="152" w:line="360" w:lineRule="auto"/>
        <w:ind w:left="37" w:right="73" w:firstLine="561"/>
        <w:jc w:val="both"/>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本地块未来规划为第二类用地用地，敏感受体为成人。根据《建设用地土壤污染风险评估技术导则》（HJ25.3-2019），依据不同土地利用方式下人群的活动模式，规定了不同用地暴露情景下对应的用地方式和敏感人群，评估目标地块暴露情景见表 5.2-1。</w:t>
      </w:r>
    </w:p>
    <w:p w14:paraId="62769D47">
      <w:pPr>
        <w:rPr>
          <w:rFonts w:hint="default" w:ascii="Times New Roman" w:hAnsi="Times New Roman" w:eastAsia="仿宋" w:cs="Times New Roman"/>
          <w:b/>
          <w:bCs/>
          <w:color w:val="auto"/>
          <w:spacing w:val="2"/>
          <w:sz w:val="24"/>
          <w:szCs w:val="24"/>
          <w:lang w:eastAsia="zh-CN"/>
        </w:rPr>
      </w:pPr>
      <w:r>
        <w:rPr>
          <w:rFonts w:hint="default" w:ascii="Times New Roman" w:hAnsi="Times New Roman" w:eastAsia="仿宋" w:cs="Times New Roman"/>
          <w:b/>
          <w:bCs/>
          <w:color w:val="auto"/>
          <w:spacing w:val="2"/>
          <w:sz w:val="24"/>
          <w:szCs w:val="24"/>
          <w:lang w:eastAsia="zh-CN"/>
        </w:rPr>
        <w:br w:type="page"/>
      </w:r>
    </w:p>
    <w:p w14:paraId="7B7CA99F">
      <w:pPr>
        <w:spacing w:line="360" w:lineRule="auto"/>
        <w:jc w:val="center"/>
        <w:rPr>
          <w:rFonts w:hint="default" w:ascii="Times New Roman" w:hAnsi="Times New Roman" w:eastAsia="仿宋" w:cs="Times New Roman"/>
          <w:b/>
          <w:bCs/>
          <w:color w:val="auto"/>
          <w:spacing w:val="2"/>
          <w:sz w:val="24"/>
          <w:szCs w:val="24"/>
          <w:lang w:eastAsia="zh-CN"/>
        </w:rPr>
      </w:pPr>
      <w:r>
        <w:rPr>
          <w:rFonts w:hint="default" w:ascii="Times New Roman" w:hAnsi="Times New Roman" w:eastAsia="仿宋" w:cs="Times New Roman"/>
          <w:b/>
          <w:bCs/>
          <w:color w:val="auto"/>
          <w:spacing w:val="2"/>
          <w:sz w:val="24"/>
          <w:szCs w:val="24"/>
          <w:lang w:eastAsia="zh-CN"/>
        </w:rPr>
        <w:t>表5.2-1  人群对污染地块内关注污染物的暴露情景</w:t>
      </w:r>
    </w:p>
    <w:tbl>
      <w:tblPr>
        <w:tblStyle w:val="28"/>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355"/>
        <w:gridCol w:w="1308"/>
        <w:gridCol w:w="1568"/>
        <w:gridCol w:w="3100"/>
      </w:tblGrid>
      <w:tr w14:paraId="4ABE6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3" w:type="pct"/>
            <w:tcBorders>
              <w:top w:val="single" w:color="auto" w:sz="12" w:space="0"/>
              <w:left w:val="single" w:color="auto" w:sz="12" w:space="0"/>
            </w:tcBorders>
            <w:shd w:val="clear" w:color="auto" w:fill="DBEEF3" w:themeFill="accent5" w:themeFillTint="32"/>
            <w:vAlign w:val="center"/>
          </w:tcPr>
          <w:p w14:paraId="78842A20">
            <w:pPr>
              <w:widowControl w:val="0"/>
              <w:kinsoku/>
              <w:autoSpaceDE/>
              <w:autoSpaceDN/>
              <w:adjustRightInd/>
              <w:snapToGrid/>
              <w:jc w:val="center"/>
              <w:textAlignment w:val="auto"/>
              <w:rPr>
                <w:rFonts w:hint="default" w:ascii="Times New Roman" w:hAnsi="Times New Roman" w:eastAsia="仿宋" w:cs="Times New Roman"/>
                <w:b/>
                <w:bCs/>
                <w:color w:val="auto"/>
                <w:spacing w:val="-4"/>
              </w:rPr>
            </w:pPr>
            <w:r>
              <w:rPr>
                <w:rFonts w:hint="default" w:ascii="Times New Roman" w:hAnsi="Times New Roman" w:eastAsia="仿宋" w:cs="Times New Roman"/>
                <w:b/>
                <w:bCs/>
                <w:color w:val="auto"/>
                <w:spacing w:val="-4"/>
              </w:rPr>
              <w:t>地块名称</w:t>
            </w:r>
          </w:p>
        </w:tc>
        <w:tc>
          <w:tcPr>
            <w:tcW w:w="785" w:type="pct"/>
            <w:tcBorders>
              <w:top w:val="single" w:color="auto" w:sz="12" w:space="0"/>
            </w:tcBorders>
            <w:shd w:val="clear" w:color="auto" w:fill="DBEEF3" w:themeFill="accent5" w:themeFillTint="32"/>
            <w:vAlign w:val="center"/>
          </w:tcPr>
          <w:p w14:paraId="01510717">
            <w:pPr>
              <w:widowControl w:val="0"/>
              <w:kinsoku/>
              <w:autoSpaceDE/>
              <w:autoSpaceDN/>
              <w:adjustRightInd/>
              <w:snapToGrid/>
              <w:jc w:val="center"/>
              <w:textAlignment w:val="auto"/>
              <w:rPr>
                <w:rFonts w:hint="default" w:ascii="Times New Roman" w:hAnsi="Times New Roman" w:eastAsia="仿宋" w:cs="Times New Roman"/>
                <w:b/>
                <w:bCs/>
                <w:color w:val="auto"/>
                <w:spacing w:val="-4"/>
              </w:rPr>
            </w:pPr>
            <w:r>
              <w:rPr>
                <w:rFonts w:hint="default" w:ascii="Times New Roman" w:hAnsi="Times New Roman" w:eastAsia="仿宋" w:cs="Times New Roman"/>
                <w:b/>
                <w:bCs/>
                <w:color w:val="auto"/>
                <w:spacing w:val="-4"/>
              </w:rPr>
              <w:t>暴露情景</w:t>
            </w:r>
          </w:p>
        </w:tc>
        <w:tc>
          <w:tcPr>
            <w:tcW w:w="941" w:type="pct"/>
            <w:tcBorders>
              <w:top w:val="single" w:color="auto" w:sz="12" w:space="0"/>
            </w:tcBorders>
            <w:shd w:val="clear" w:color="auto" w:fill="DBEEF3" w:themeFill="accent5" w:themeFillTint="32"/>
            <w:vAlign w:val="center"/>
          </w:tcPr>
          <w:p w14:paraId="1C899B67">
            <w:pPr>
              <w:widowControl w:val="0"/>
              <w:kinsoku/>
              <w:autoSpaceDE/>
              <w:autoSpaceDN/>
              <w:adjustRightInd/>
              <w:snapToGrid/>
              <w:jc w:val="center"/>
              <w:textAlignment w:val="auto"/>
              <w:rPr>
                <w:rFonts w:hint="default" w:ascii="Times New Roman" w:hAnsi="Times New Roman" w:eastAsia="仿宋" w:cs="Times New Roman"/>
                <w:b/>
                <w:bCs/>
                <w:color w:val="auto"/>
                <w:spacing w:val="-4"/>
              </w:rPr>
            </w:pPr>
            <w:r>
              <w:rPr>
                <w:rFonts w:hint="default" w:ascii="Times New Roman" w:hAnsi="Times New Roman" w:eastAsia="仿宋" w:cs="Times New Roman"/>
                <w:b/>
                <w:bCs/>
                <w:color w:val="auto"/>
                <w:spacing w:val="-4"/>
              </w:rPr>
              <w:t>用地方式描述</w:t>
            </w:r>
          </w:p>
        </w:tc>
        <w:tc>
          <w:tcPr>
            <w:tcW w:w="1859" w:type="pct"/>
            <w:tcBorders>
              <w:top w:val="single" w:color="auto" w:sz="12" w:space="0"/>
              <w:right w:val="single" w:color="auto" w:sz="12" w:space="0"/>
            </w:tcBorders>
            <w:shd w:val="clear" w:color="auto" w:fill="DBEEF3" w:themeFill="accent5" w:themeFillTint="32"/>
            <w:vAlign w:val="center"/>
          </w:tcPr>
          <w:p w14:paraId="661B920A">
            <w:pPr>
              <w:widowControl w:val="0"/>
              <w:kinsoku/>
              <w:autoSpaceDE/>
              <w:autoSpaceDN/>
              <w:adjustRightInd/>
              <w:snapToGrid/>
              <w:jc w:val="center"/>
              <w:textAlignment w:val="auto"/>
              <w:rPr>
                <w:rFonts w:hint="default" w:ascii="Times New Roman" w:hAnsi="Times New Roman" w:eastAsia="仿宋" w:cs="Times New Roman"/>
                <w:b/>
                <w:bCs/>
                <w:color w:val="auto"/>
                <w:spacing w:val="-4"/>
              </w:rPr>
            </w:pPr>
            <w:r>
              <w:rPr>
                <w:rFonts w:hint="default" w:ascii="Times New Roman" w:hAnsi="Times New Roman" w:eastAsia="仿宋" w:cs="Times New Roman"/>
                <w:b/>
                <w:bCs/>
                <w:color w:val="auto"/>
                <w:spacing w:val="-4"/>
              </w:rPr>
              <w:t>敏感人群</w:t>
            </w:r>
          </w:p>
        </w:tc>
      </w:tr>
      <w:tr w14:paraId="476BC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413" w:type="pct"/>
            <w:tcBorders>
              <w:left w:val="single" w:color="auto" w:sz="12" w:space="0"/>
              <w:bottom w:val="single" w:color="auto" w:sz="12" w:space="0"/>
            </w:tcBorders>
            <w:vAlign w:val="center"/>
          </w:tcPr>
          <w:p w14:paraId="050AB9F5">
            <w:pPr>
              <w:widowControl w:val="0"/>
              <w:kinsoku/>
              <w:autoSpaceDE/>
              <w:autoSpaceDN/>
              <w:adjustRightInd/>
              <w:snapToGrid/>
              <w:jc w:val="center"/>
              <w:textAlignment w:val="auto"/>
              <w:rPr>
                <w:rFonts w:hint="default" w:ascii="Times New Roman" w:hAnsi="Times New Roman" w:eastAsia="仿宋" w:cs="Times New Roman"/>
                <w:color w:val="auto"/>
                <w:spacing w:val="-4"/>
                <w:lang w:eastAsia="zh-CN"/>
              </w:rPr>
            </w:pPr>
            <w:r>
              <w:rPr>
                <w:rFonts w:hint="default" w:ascii="Times New Roman" w:hAnsi="Times New Roman" w:eastAsia="仿宋" w:cs="Times New Roman"/>
                <w:color w:val="auto"/>
                <w:spacing w:val="-4"/>
                <w:lang w:eastAsia="zh-CN"/>
              </w:rPr>
              <w:t>原苏州长青电镀厂地块</w:t>
            </w:r>
          </w:p>
        </w:tc>
        <w:tc>
          <w:tcPr>
            <w:tcW w:w="785" w:type="pct"/>
            <w:tcBorders>
              <w:bottom w:val="single" w:color="auto" w:sz="12" w:space="0"/>
            </w:tcBorders>
            <w:vAlign w:val="center"/>
          </w:tcPr>
          <w:p w14:paraId="078CB237">
            <w:pPr>
              <w:widowControl w:val="0"/>
              <w:kinsoku/>
              <w:autoSpaceDE/>
              <w:autoSpaceDN/>
              <w:adjustRightInd/>
              <w:snapToGrid/>
              <w:jc w:val="center"/>
              <w:textAlignment w:val="auto"/>
              <w:rPr>
                <w:rFonts w:hint="default" w:ascii="Times New Roman" w:hAnsi="Times New Roman" w:eastAsia="仿宋" w:cs="Times New Roman"/>
                <w:color w:val="auto"/>
                <w:spacing w:val="-4"/>
              </w:rPr>
            </w:pPr>
            <w:r>
              <w:rPr>
                <w:rFonts w:hint="default" w:ascii="Times New Roman" w:hAnsi="Times New Roman" w:eastAsia="仿宋" w:cs="Times New Roman"/>
                <w:color w:val="auto"/>
                <w:spacing w:val="-4"/>
              </w:rPr>
              <w:t>非敏感</w:t>
            </w:r>
          </w:p>
        </w:tc>
        <w:tc>
          <w:tcPr>
            <w:tcW w:w="941" w:type="pct"/>
            <w:tcBorders>
              <w:bottom w:val="single" w:color="auto" w:sz="12" w:space="0"/>
            </w:tcBorders>
            <w:vAlign w:val="center"/>
          </w:tcPr>
          <w:p w14:paraId="3B9DA306">
            <w:pPr>
              <w:widowControl w:val="0"/>
              <w:kinsoku/>
              <w:autoSpaceDE/>
              <w:autoSpaceDN/>
              <w:adjustRightInd/>
              <w:snapToGrid/>
              <w:jc w:val="center"/>
              <w:textAlignment w:val="auto"/>
              <w:rPr>
                <w:rFonts w:hint="default" w:ascii="Times New Roman" w:hAnsi="Times New Roman" w:eastAsia="仿宋" w:cs="Times New Roman"/>
                <w:color w:val="auto"/>
                <w:spacing w:val="-4"/>
              </w:rPr>
            </w:pPr>
            <w:r>
              <w:rPr>
                <w:rFonts w:hint="default" w:ascii="Times New Roman" w:hAnsi="Times New Roman" w:eastAsia="仿宋" w:cs="Times New Roman"/>
                <w:color w:val="auto"/>
                <w:spacing w:val="-4"/>
              </w:rPr>
              <w:t>第二类用地</w:t>
            </w:r>
          </w:p>
        </w:tc>
        <w:tc>
          <w:tcPr>
            <w:tcW w:w="1859" w:type="pct"/>
            <w:tcBorders>
              <w:bottom w:val="single" w:color="auto" w:sz="12" w:space="0"/>
              <w:right w:val="single" w:color="auto" w:sz="12" w:space="0"/>
            </w:tcBorders>
            <w:vAlign w:val="center"/>
          </w:tcPr>
          <w:p w14:paraId="2983FC1E">
            <w:pPr>
              <w:widowControl w:val="0"/>
              <w:kinsoku/>
              <w:autoSpaceDE/>
              <w:autoSpaceDN/>
              <w:adjustRightInd/>
              <w:snapToGrid/>
              <w:jc w:val="center"/>
              <w:textAlignment w:val="auto"/>
              <w:rPr>
                <w:rFonts w:hint="default" w:ascii="Times New Roman" w:hAnsi="Times New Roman" w:eastAsia="仿宋" w:cs="Times New Roman"/>
                <w:color w:val="auto"/>
                <w:spacing w:val="-4"/>
                <w:lang w:eastAsia="zh-CN"/>
              </w:rPr>
            </w:pPr>
            <w:r>
              <w:rPr>
                <w:rFonts w:hint="default" w:ascii="Times New Roman" w:hAnsi="Times New Roman" w:eastAsia="仿宋" w:cs="Times New Roman"/>
                <w:color w:val="auto"/>
                <w:spacing w:val="-4"/>
                <w:lang w:eastAsia="zh-CN"/>
              </w:rPr>
              <w:t>成人（致癌风险、非致癌效应）</w:t>
            </w:r>
          </w:p>
        </w:tc>
      </w:tr>
    </w:tbl>
    <w:p w14:paraId="0C3F515E">
      <w:pPr>
        <w:kinsoku/>
        <w:overflowPunct w:val="0"/>
        <w:topLinePunct/>
        <w:autoSpaceDE/>
        <w:autoSpaceDN/>
        <w:spacing w:before="152" w:line="360" w:lineRule="auto"/>
        <w:ind w:left="37" w:right="73" w:firstLine="561"/>
        <w:jc w:val="both"/>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暴露途径是地块土壤和地下水中污染物经一定的方式迁移达到并进入敏感受体的过程。主要由污染源的特征、地块的用途和人群的活动特点决定。受污染的表层土壤的表面会产生扬尘进入空气中，同时会从地表产生污染物蒸气进入空气中。地表以下受污染的土壤会产生污染物的蒸气进入空气中。而且受污染的地下水也会产生污染物的蒸气进入空气中。</w:t>
      </w:r>
    </w:p>
    <w:p w14:paraId="7421447C">
      <w:pPr>
        <w:kinsoku/>
        <w:overflowPunct w:val="0"/>
        <w:topLinePunct/>
        <w:autoSpaceDE/>
        <w:autoSpaceDN/>
        <w:spacing w:before="152" w:line="360" w:lineRule="auto"/>
        <w:ind w:left="37" w:right="73" w:firstLine="561"/>
        <w:jc w:val="both"/>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地块暴露途径主要体现在经口摄入污染土壤，皮肤接触污染土壤，吸入土壤颗粒物以及室内外空气中的气态污染物。经口摄入的途径主要为首先经口进入消化系统，经呼吸摄入的途径为首先经口鼻进入肺部，皮肤接触途径主要为首先经人体的头、脖子、手臂、手、脚踝等部位的皮肤接触污染物质，然后通过皮肤吸收污染物进入体内。</w:t>
      </w:r>
    </w:p>
    <w:p w14:paraId="3B4D31DF">
      <w:pPr>
        <w:kinsoku/>
        <w:overflowPunct w:val="0"/>
        <w:topLinePunct/>
        <w:autoSpaceDE/>
        <w:autoSpaceDN/>
        <w:spacing w:before="152" w:line="360" w:lineRule="auto"/>
        <w:ind w:left="37" w:right="73" w:firstLine="561"/>
        <w:jc w:val="both"/>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在未来用地规划中，该地块规划作为风景游览用地（Eg）、防护绿地（G2），需分别考虑土壤和地下水作为污染源时对敏感受体产生的风险和危害。</w:t>
      </w:r>
    </w:p>
    <w:p w14:paraId="1B7F1659">
      <w:pPr>
        <w:kinsoku/>
        <w:overflowPunct w:val="0"/>
        <w:topLinePunct/>
        <w:autoSpaceDE/>
        <w:autoSpaceDN/>
        <w:spacing w:before="152" w:line="360" w:lineRule="auto"/>
        <w:ind w:left="37" w:right="73" w:firstLine="561"/>
        <w:jc w:val="both"/>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当土壤作为污染源，从保护人体健康角度分析，土壤污染区主要通过经口摄入土壤、皮肤接触土壤、吸入土壤颗粒物、吸入空气中来自表层土壤的气态污染物、吸入空气中来自下层土壤的气态污染物等途径暴露；从保护水环境质量角度分析，土壤污染物通过淋溶作用对地下水产生影响。</w:t>
      </w:r>
    </w:p>
    <w:p w14:paraId="7589221B">
      <w:pPr>
        <w:kinsoku/>
        <w:overflowPunct w:val="0"/>
        <w:topLinePunct/>
        <w:autoSpaceDE/>
        <w:autoSpaceDN/>
        <w:spacing w:before="152" w:line="360" w:lineRule="auto"/>
        <w:ind w:left="37" w:right="73" w:firstLine="561"/>
        <w:jc w:val="both"/>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当地下水作为污染源，由于该地区禁止开采地下水，故不考虑饮用地下水的途径，则该暴露场景下受体的暴露途径主要为吸入空气中来自地下水的气态污染物。</w:t>
      </w:r>
    </w:p>
    <w:p w14:paraId="28EE547B">
      <w:pPr>
        <w:pStyle w:val="8"/>
        <w:kinsoku/>
        <w:overflowPunct w:val="0"/>
        <w:topLinePunct/>
        <w:autoSpaceDE/>
        <w:autoSpaceDN/>
        <w:spacing w:before="121" w:line="360" w:lineRule="auto"/>
        <w:ind w:left="34"/>
        <w:outlineLvl w:val="2"/>
        <w:rPr>
          <w:rFonts w:hint="default" w:ascii="Times New Roman" w:hAnsi="Times New Roman" w:eastAsia="仿宋" w:cs="Times New Roman"/>
          <w:b/>
          <w:bCs/>
          <w:snapToGrid/>
          <w:kern w:val="2"/>
          <w:szCs w:val="32"/>
          <w:lang w:eastAsia="zh-CN"/>
        </w:rPr>
      </w:pPr>
      <w:bookmarkStart w:id="124" w:name="bookmark58"/>
      <w:bookmarkEnd w:id="124"/>
      <w:bookmarkStart w:id="125" w:name="_Toc11776"/>
      <w:bookmarkStart w:id="126" w:name="_Toc20019"/>
      <w:bookmarkStart w:id="127" w:name="_Toc22917"/>
      <w:bookmarkStart w:id="128" w:name="_Toc5598"/>
      <w:r>
        <w:rPr>
          <w:rFonts w:hint="default" w:ascii="Times New Roman" w:hAnsi="Times New Roman" w:eastAsia="仿宋" w:cs="Times New Roman"/>
          <w:b/>
          <w:bCs/>
          <w:snapToGrid/>
          <w:kern w:val="2"/>
          <w:szCs w:val="32"/>
          <w:lang w:eastAsia="zh-CN"/>
        </w:rPr>
        <w:t>5.2.2 暴露概念模型</w:t>
      </w:r>
      <w:bookmarkEnd w:id="125"/>
      <w:bookmarkEnd w:id="126"/>
      <w:bookmarkEnd w:id="127"/>
      <w:bookmarkEnd w:id="128"/>
    </w:p>
    <w:p w14:paraId="5A2BB119">
      <w:pPr>
        <w:kinsoku/>
        <w:overflowPunct w:val="0"/>
        <w:topLinePunct/>
        <w:autoSpaceDE/>
        <w:autoSpaceDN/>
        <w:spacing w:before="152" w:line="360" w:lineRule="auto"/>
        <w:ind w:left="37" w:right="73" w:firstLine="561"/>
        <w:jc w:val="both"/>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确定地块土壤和地下水污染的暴露途径是人体健康风险评价的关键步骤。暴露途径是地块土壤和浅层地下水中污染物迁移到达和暴露与人体的方式。</w:t>
      </w:r>
    </w:p>
    <w:p w14:paraId="5935F1AF">
      <w:pPr>
        <w:kinsoku/>
        <w:overflowPunct w:val="0"/>
        <w:topLinePunct/>
        <w:autoSpaceDE/>
        <w:autoSpaceDN/>
        <w:spacing w:before="152" w:line="360" w:lineRule="auto"/>
        <w:ind w:left="37" w:right="73" w:firstLine="561"/>
        <w:jc w:val="both"/>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根据《建设用地土壤污染风险评估技术导则》（HJ 25.3-2019）规定，暴露途径有9种。包括经口摄入土壤、皮肤接触土壤、吸入土壤颗粒物、吸入室外空气中来自表层土壤的气态污染物、吸入室外空气中来自下层土壤的气态污染物、吸入室内空气中来自下层土壤的气态污染物共6种土壤污染物暴露途径；以及吸入室外空气中来自地下水的气态污染物、吸入室内空气中来自地下水的气态污染物、饮用地下水、</w:t>
      </w:r>
      <w:r>
        <w:rPr>
          <w:rFonts w:hint="default" w:ascii="Times New Roman" w:hAnsi="Times New Roman" w:eastAsia="仿宋" w:cs="Times New Roman"/>
          <w:color w:val="auto"/>
          <w:spacing w:val="2"/>
          <w:sz w:val="28"/>
          <w:szCs w:val="28"/>
          <w:lang w:val="en-US" w:eastAsia="zh-CN"/>
        </w:rPr>
        <w:t>皮肤接触地下水</w:t>
      </w:r>
      <w:r>
        <w:rPr>
          <w:rFonts w:hint="default" w:ascii="Times New Roman" w:hAnsi="Times New Roman" w:eastAsia="仿宋" w:cs="Times New Roman"/>
          <w:color w:val="auto"/>
          <w:spacing w:val="2"/>
          <w:sz w:val="28"/>
          <w:szCs w:val="28"/>
          <w:lang w:eastAsia="zh-CN"/>
        </w:rPr>
        <w:t>共4种地下水污染物暴露途径。</w:t>
      </w:r>
    </w:p>
    <w:p w14:paraId="0585AC1B">
      <w:pPr>
        <w:pStyle w:val="8"/>
        <w:kinsoku/>
        <w:overflowPunct w:val="0"/>
        <w:topLinePunct/>
        <w:autoSpaceDE/>
        <w:autoSpaceDN/>
        <w:spacing w:before="152" w:line="334" w:lineRule="auto"/>
        <w:ind w:left="38" w:right="27" w:firstLine="560"/>
        <w:jc w:val="both"/>
        <w:rPr>
          <w:rFonts w:hint="default" w:ascii="Times New Roman" w:hAnsi="Times New Roman" w:eastAsia="仿宋" w:cs="Times New Roman"/>
          <w:color w:val="0000FF"/>
          <w:lang w:eastAsia="zh-CN"/>
        </w:rPr>
      </w:pPr>
      <w:r>
        <w:rPr>
          <w:rFonts w:hint="default" w:ascii="Times New Roman" w:hAnsi="Times New Roman" w:eastAsia="仿宋" w:cs="Times New Roman"/>
          <w:color w:val="auto"/>
          <w:spacing w:val="2"/>
          <w:lang w:eastAsia="zh-CN"/>
        </w:rPr>
        <w:t>本地块后续作为风景游览用地（Eg）和防护绿地（G2）进行开发建设，污染风险主</w:t>
      </w:r>
      <w:r>
        <w:rPr>
          <w:rFonts w:hint="default" w:ascii="Times New Roman" w:hAnsi="Times New Roman" w:eastAsia="仿宋" w:cs="Times New Roman"/>
          <w:color w:val="auto"/>
          <w:spacing w:val="1"/>
          <w:lang w:eastAsia="zh-CN"/>
        </w:rPr>
        <w:t>要来源</w:t>
      </w:r>
      <w:r>
        <w:rPr>
          <w:rFonts w:hint="default" w:ascii="Times New Roman" w:hAnsi="Times New Roman" w:eastAsia="仿宋" w:cs="Times New Roman"/>
          <w:color w:val="auto"/>
          <w:spacing w:val="2"/>
          <w:lang w:eastAsia="zh-CN"/>
        </w:rPr>
        <w:t>于室外暴露途径，根据该场地风险评估的范围、受</w:t>
      </w:r>
      <w:r>
        <w:rPr>
          <w:rFonts w:hint="default" w:ascii="Times New Roman" w:hAnsi="Times New Roman" w:eastAsia="仿宋" w:cs="Times New Roman"/>
          <w:color w:val="auto"/>
          <w:spacing w:val="1"/>
          <w:lang w:eastAsia="zh-CN"/>
        </w:rPr>
        <w:t>体和可能的暴露</w:t>
      </w:r>
      <w:r>
        <w:rPr>
          <w:rFonts w:hint="default" w:ascii="Times New Roman" w:hAnsi="Times New Roman" w:eastAsia="仿宋" w:cs="Times New Roman"/>
          <w:color w:val="auto"/>
          <w:spacing w:val="-7"/>
          <w:lang w:eastAsia="zh-CN"/>
        </w:rPr>
        <w:t>场景、暴露途径，综合考虑场地水文地质条件等因素，构建暴露概念模型</w:t>
      </w:r>
      <w:r>
        <w:rPr>
          <w:rFonts w:hint="default" w:ascii="Times New Roman" w:hAnsi="Times New Roman" w:eastAsia="仿宋" w:cs="Times New Roman"/>
          <w:color w:val="auto"/>
          <w:spacing w:val="-5"/>
          <w:lang w:eastAsia="zh-CN"/>
        </w:rPr>
        <w:t>。</w:t>
      </w:r>
    </w:p>
    <w:p w14:paraId="74284001">
      <w:pPr>
        <w:spacing w:line="360" w:lineRule="auto"/>
        <w:jc w:val="center"/>
        <w:rPr>
          <w:rFonts w:hint="default" w:ascii="Times New Roman" w:hAnsi="Times New Roman" w:eastAsia="仿宋" w:cs="Times New Roman"/>
          <w:b/>
          <w:bCs/>
          <w:color w:val="auto"/>
          <w:spacing w:val="2"/>
          <w:sz w:val="24"/>
          <w:szCs w:val="24"/>
        </w:rPr>
      </w:pPr>
      <w:r>
        <w:rPr>
          <w:rFonts w:hint="default" w:ascii="Times New Roman" w:hAnsi="Times New Roman" w:eastAsia="仿宋" w:cs="Times New Roman"/>
          <w:b/>
          <w:bCs/>
          <w:color w:val="auto"/>
          <w:spacing w:val="2"/>
          <w:sz w:val="24"/>
          <w:szCs w:val="24"/>
          <w:lang w:eastAsia="zh-CN"/>
        </w:rPr>
        <w:t xml:space="preserve">5.2.2 </w:t>
      </w:r>
      <w:r>
        <w:rPr>
          <w:rFonts w:hint="default" w:ascii="Times New Roman" w:hAnsi="Times New Roman" w:eastAsia="仿宋" w:cs="Times New Roman"/>
          <w:b/>
          <w:bCs/>
          <w:color w:val="auto"/>
          <w:spacing w:val="2"/>
          <w:sz w:val="24"/>
          <w:szCs w:val="24"/>
        </w:rPr>
        <w:t>地块暴露途径</w:t>
      </w:r>
    </w:p>
    <w:tbl>
      <w:tblPr>
        <w:tblStyle w:val="28"/>
        <w:tblW w:w="505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49"/>
        <w:gridCol w:w="5192"/>
        <w:gridCol w:w="1775"/>
      </w:tblGrid>
      <w:tr w14:paraId="1A827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861" w:type="pct"/>
            <w:tcBorders>
              <w:top w:val="single" w:color="auto" w:sz="12" w:space="0"/>
              <w:left w:val="single" w:color="auto" w:sz="12" w:space="0"/>
              <w:bottom w:val="single" w:color="auto" w:sz="4" w:space="0"/>
              <w:right w:val="single" w:color="auto" w:sz="4" w:space="0"/>
            </w:tcBorders>
            <w:shd w:val="clear" w:color="auto" w:fill="DBEEF3" w:themeFill="accent5" w:themeFillTint="32"/>
            <w:vAlign w:val="center"/>
          </w:tcPr>
          <w:p w14:paraId="472C490B">
            <w:pPr>
              <w:kinsoku/>
              <w:overflowPunct w:val="0"/>
              <w:topLinePunct/>
              <w:autoSpaceDE/>
              <w:autoSpaceDN/>
              <w:spacing w:before="86" w:line="210" w:lineRule="auto"/>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pacing w:val="-6"/>
              </w:rPr>
              <w:t>来源</w:t>
            </w:r>
          </w:p>
        </w:tc>
        <w:tc>
          <w:tcPr>
            <w:tcW w:w="3084" w:type="pct"/>
            <w:tcBorders>
              <w:top w:val="single" w:color="auto" w:sz="12" w:space="0"/>
              <w:left w:val="single" w:color="auto" w:sz="4" w:space="0"/>
              <w:bottom w:val="single" w:color="auto" w:sz="4" w:space="0"/>
              <w:right w:val="single" w:color="auto" w:sz="4" w:space="0"/>
            </w:tcBorders>
            <w:shd w:val="clear" w:color="auto" w:fill="DBEEF3" w:themeFill="accent5" w:themeFillTint="32"/>
            <w:vAlign w:val="center"/>
          </w:tcPr>
          <w:p w14:paraId="08FB0D61">
            <w:pPr>
              <w:kinsoku/>
              <w:overflowPunct w:val="0"/>
              <w:topLinePunct/>
              <w:autoSpaceDE/>
              <w:autoSpaceDN/>
              <w:spacing w:before="86" w:line="210" w:lineRule="auto"/>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pacing w:val="-4"/>
              </w:rPr>
              <w:t>暴露途径</w:t>
            </w:r>
          </w:p>
        </w:tc>
        <w:tc>
          <w:tcPr>
            <w:tcW w:w="1054" w:type="pct"/>
            <w:tcBorders>
              <w:top w:val="single" w:color="auto" w:sz="12" w:space="0"/>
              <w:left w:val="single" w:color="auto" w:sz="4" w:space="0"/>
              <w:bottom w:val="single" w:color="auto" w:sz="4" w:space="0"/>
              <w:right w:val="single" w:color="auto" w:sz="12" w:space="0"/>
            </w:tcBorders>
            <w:shd w:val="clear" w:color="auto" w:fill="DBEEF3" w:themeFill="accent5" w:themeFillTint="32"/>
            <w:vAlign w:val="center"/>
          </w:tcPr>
          <w:p w14:paraId="223D08AC">
            <w:pPr>
              <w:kinsoku/>
              <w:overflowPunct w:val="0"/>
              <w:topLinePunct/>
              <w:autoSpaceDE/>
              <w:autoSpaceDN/>
              <w:spacing w:before="86" w:line="210" w:lineRule="auto"/>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pacing w:val="-8"/>
              </w:rPr>
              <w:t>二类用地</w:t>
            </w:r>
          </w:p>
        </w:tc>
      </w:tr>
      <w:tr w14:paraId="2B009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61" w:type="pct"/>
            <w:vMerge w:val="restart"/>
            <w:tcBorders>
              <w:top w:val="single" w:color="auto" w:sz="4" w:space="0"/>
              <w:left w:val="single" w:color="auto" w:sz="12" w:space="0"/>
              <w:right w:val="single" w:color="auto" w:sz="4" w:space="0"/>
            </w:tcBorders>
            <w:vAlign w:val="center"/>
          </w:tcPr>
          <w:p w14:paraId="1B393AE6">
            <w:pPr>
              <w:kinsoku/>
              <w:overflowPunct w:val="0"/>
              <w:topLinePunct/>
              <w:autoSpaceDE/>
              <w:autoSpaceDN/>
              <w:spacing w:line="241" w:lineRule="auto"/>
              <w:jc w:val="center"/>
              <w:rPr>
                <w:rFonts w:hint="default" w:ascii="Times New Roman" w:hAnsi="Times New Roman" w:eastAsia="仿宋" w:cs="Times New Roman"/>
                <w:color w:val="auto"/>
                <w:lang w:eastAsia="zh-CN"/>
              </w:rPr>
            </w:pPr>
          </w:p>
          <w:p w14:paraId="7D954379">
            <w:pPr>
              <w:kinsoku/>
              <w:overflowPunct w:val="0"/>
              <w:topLinePunct/>
              <w:autoSpaceDE/>
              <w:autoSpaceDN/>
              <w:spacing w:before="78" w:line="217" w:lineRule="auto"/>
              <w:jc w:val="center"/>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val="en-US" w:eastAsia="zh-CN"/>
              </w:rPr>
              <w:t>土壤</w:t>
            </w:r>
            <w:r>
              <w:rPr>
                <w:rFonts w:hint="default" w:ascii="Times New Roman" w:hAnsi="Times New Roman" w:eastAsia="仿宋" w:cs="Times New Roman"/>
                <w:color w:val="auto"/>
                <w:lang w:eastAsia="zh-CN"/>
              </w:rPr>
              <w:t>六价铬</w:t>
            </w:r>
          </w:p>
        </w:tc>
        <w:tc>
          <w:tcPr>
            <w:tcW w:w="3084" w:type="pct"/>
            <w:tcBorders>
              <w:top w:val="single" w:color="auto" w:sz="4" w:space="0"/>
              <w:left w:val="single" w:color="auto" w:sz="4" w:space="0"/>
              <w:bottom w:val="single" w:color="auto" w:sz="4" w:space="0"/>
              <w:right w:val="single" w:color="auto" w:sz="4" w:space="0"/>
            </w:tcBorders>
          </w:tcPr>
          <w:p w14:paraId="624A6274">
            <w:pPr>
              <w:kinsoku/>
              <w:overflowPunct w:val="0"/>
              <w:topLinePunct/>
              <w:autoSpaceDE/>
              <w:autoSpaceDN/>
              <w:spacing w:before="130" w:line="214" w:lineRule="auto"/>
              <w:ind w:left="1744"/>
              <w:rPr>
                <w:rFonts w:hint="default" w:ascii="Times New Roman" w:hAnsi="Times New Roman" w:eastAsia="仿宋" w:cs="Times New Roman"/>
                <w:color w:val="auto"/>
              </w:rPr>
            </w:pPr>
            <w:r>
              <w:rPr>
                <w:rFonts w:hint="default" w:ascii="Times New Roman" w:hAnsi="Times New Roman" w:eastAsia="仿宋" w:cs="Times New Roman"/>
                <w:color w:val="auto"/>
                <w:spacing w:val="-2"/>
              </w:rPr>
              <w:t>经口摄入土壤途径</w:t>
            </w:r>
          </w:p>
        </w:tc>
        <w:tc>
          <w:tcPr>
            <w:tcW w:w="1054" w:type="pct"/>
            <w:tcBorders>
              <w:top w:val="single" w:color="auto" w:sz="4" w:space="0"/>
              <w:left w:val="single" w:color="auto" w:sz="4" w:space="0"/>
              <w:bottom w:val="single" w:color="auto" w:sz="4" w:space="0"/>
              <w:right w:val="single" w:color="auto" w:sz="12" w:space="0"/>
            </w:tcBorders>
          </w:tcPr>
          <w:p w14:paraId="5AAFF2C0">
            <w:pPr>
              <w:pStyle w:val="29"/>
              <w:kinsoku/>
              <w:overflowPunct w:val="0"/>
              <w:topLinePunct/>
              <w:autoSpaceDE/>
              <w:autoSpaceDN/>
              <w:spacing w:before="114" w:line="238" w:lineRule="auto"/>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w:t>
            </w:r>
          </w:p>
        </w:tc>
      </w:tr>
      <w:tr w14:paraId="3847B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61" w:type="pct"/>
            <w:vMerge w:val="continue"/>
            <w:tcBorders>
              <w:left w:val="single" w:color="auto" w:sz="12" w:space="0"/>
              <w:right w:val="single" w:color="auto" w:sz="4" w:space="0"/>
            </w:tcBorders>
          </w:tcPr>
          <w:p w14:paraId="51C1B3F6">
            <w:pPr>
              <w:kinsoku/>
              <w:overflowPunct w:val="0"/>
              <w:topLinePunct/>
              <w:autoSpaceDE/>
              <w:autoSpaceDN/>
              <w:rPr>
                <w:rFonts w:hint="default" w:ascii="Times New Roman" w:hAnsi="Times New Roman" w:eastAsia="仿宋" w:cs="Times New Roman"/>
                <w:color w:val="auto"/>
              </w:rPr>
            </w:pPr>
          </w:p>
        </w:tc>
        <w:tc>
          <w:tcPr>
            <w:tcW w:w="3084" w:type="pct"/>
            <w:tcBorders>
              <w:top w:val="single" w:color="auto" w:sz="4" w:space="0"/>
              <w:left w:val="single" w:color="auto" w:sz="4" w:space="0"/>
              <w:bottom w:val="single" w:color="auto" w:sz="4" w:space="0"/>
              <w:right w:val="single" w:color="auto" w:sz="4" w:space="0"/>
            </w:tcBorders>
          </w:tcPr>
          <w:p w14:paraId="0F21CF5E">
            <w:pPr>
              <w:kinsoku/>
              <w:overflowPunct w:val="0"/>
              <w:topLinePunct/>
              <w:autoSpaceDE/>
              <w:autoSpaceDN/>
              <w:spacing w:before="131" w:line="214" w:lineRule="auto"/>
              <w:ind w:left="1736"/>
              <w:rPr>
                <w:rFonts w:hint="default" w:ascii="Times New Roman" w:hAnsi="Times New Roman" w:eastAsia="仿宋" w:cs="Times New Roman"/>
                <w:color w:val="auto"/>
              </w:rPr>
            </w:pPr>
            <w:r>
              <w:rPr>
                <w:rFonts w:hint="default" w:ascii="Times New Roman" w:hAnsi="Times New Roman" w:eastAsia="仿宋" w:cs="Times New Roman"/>
                <w:color w:val="auto"/>
                <w:spacing w:val="-1"/>
              </w:rPr>
              <w:t>皮肤接触土壤途径</w:t>
            </w:r>
          </w:p>
        </w:tc>
        <w:tc>
          <w:tcPr>
            <w:tcW w:w="1054" w:type="pct"/>
            <w:tcBorders>
              <w:top w:val="single" w:color="auto" w:sz="4" w:space="0"/>
              <w:left w:val="single" w:color="auto" w:sz="4" w:space="0"/>
              <w:bottom w:val="single" w:color="auto" w:sz="4" w:space="0"/>
              <w:right w:val="single" w:color="auto" w:sz="12" w:space="0"/>
            </w:tcBorders>
          </w:tcPr>
          <w:p w14:paraId="1F1D0B50">
            <w:pPr>
              <w:pStyle w:val="29"/>
              <w:kinsoku/>
              <w:overflowPunct w:val="0"/>
              <w:topLinePunct/>
              <w:autoSpaceDE/>
              <w:autoSpaceDN/>
              <w:spacing w:before="115" w:line="238" w:lineRule="auto"/>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w:t>
            </w:r>
          </w:p>
        </w:tc>
      </w:tr>
      <w:tr w14:paraId="37C28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61" w:type="pct"/>
            <w:vMerge w:val="continue"/>
            <w:tcBorders>
              <w:left w:val="single" w:color="auto" w:sz="12" w:space="0"/>
              <w:right w:val="single" w:color="auto" w:sz="4" w:space="0"/>
            </w:tcBorders>
          </w:tcPr>
          <w:p w14:paraId="33621912">
            <w:pPr>
              <w:kinsoku/>
              <w:overflowPunct w:val="0"/>
              <w:topLinePunct/>
              <w:autoSpaceDE/>
              <w:autoSpaceDN/>
              <w:rPr>
                <w:rFonts w:hint="default" w:ascii="Times New Roman" w:hAnsi="Times New Roman" w:eastAsia="仿宋" w:cs="Times New Roman"/>
                <w:color w:val="auto"/>
              </w:rPr>
            </w:pPr>
          </w:p>
        </w:tc>
        <w:tc>
          <w:tcPr>
            <w:tcW w:w="3084" w:type="pct"/>
            <w:tcBorders>
              <w:top w:val="single" w:color="auto" w:sz="4" w:space="0"/>
              <w:left w:val="single" w:color="auto" w:sz="4" w:space="0"/>
              <w:bottom w:val="single" w:color="auto" w:sz="4" w:space="0"/>
              <w:right w:val="single" w:color="auto" w:sz="4" w:space="0"/>
            </w:tcBorders>
          </w:tcPr>
          <w:p w14:paraId="55689277">
            <w:pPr>
              <w:kinsoku/>
              <w:overflowPunct w:val="0"/>
              <w:topLinePunct/>
              <w:autoSpaceDE/>
              <w:autoSpaceDN/>
              <w:spacing w:before="130" w:line="217" w:lineRule="auto"/>
              <w:ind w:left="1631"/>
              <w:rPr>
                <w:rFonts w:hint="default" w:ascii="Times New Roman" w:hAnsi="Times New Roman" w:eastAsia="仿宋" w:cs="Times New Roman"/>
                <w:color w:val="auto"/>
              </w:rPr>
            </w:pPr>
            <w:r>
              <w:rPr>
                <w:rFonts w:hint="default" w:ascii="Times New Roman" w:hAnsi="Times New Roman" w:eastAsia="仿宋" w:cs="Times New Roman"/>
                <w:color w:val="auto"/>
                <w:spacing w:val="-3"/>
              </w:rPr>
              <w:t>吸入土壤颗粒物途径</w:t>
            </w:r>
          </w:p>
        </w:tc>
        <w:tc>
          <w:tcPr>
            <w:tcW w:w="1054" w:type="pct"/>
            <w:tcBorders>
              <w:top w:val="single" w:color="auto" w:sz="4" w:space="0"/>
              <w:left w:val="single" w:color="auto" w:sz="4" w:space="0"/>
              <w:bottom w:val="single" w:color="auto" w:sz="4" w:space="0"/>
              <w:right w:val="single" w:color="auto" w:sz="12" w:space="0"/>
            </w:tcBorders>
          </w:tcPr>
          <w:p w14:paraId="27C7D1A6">
            <w:pPr>
              <w:pStyle w:val="29"/>
              <w:kinsoku/>
              <w:overflowPunct w:val="0"/>
              <w:topLinePunct/>
              <w:autoSpaceDE/>
              <w:autoSpaceDN/>
              <w:spacing w:before="115" w:line="238" w:lineRule="auto"/>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w:t>
            </w:r>
          </w:p>
        </w:tc>
      </w:tr>
      <w:tr w14:paraId="2B00E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61" w:type="pct"/>
            <w:vMerge w:val="continue"/>
            <w:tcBorders>
              <w:left w:val="single" w:color="auto" w:sz="12" w:space="0"/>
              <w:right w:val="single" w:color="auto" w:sz="4" w:space="0"/>
            </w:tcBorders>
          </w:tcPr>
          <w:p w14:paraId="5E554173">
            <w:pPr>
              <w:kinsoku/>
              <w:overflowPunct w:val="0"/>
              <w:topLinePunct/>
              <w:autoSpaceDE/>
              <w:autoSpaceDN/>
              <w:rPr>
                <w:rFonts w:hint="default" w:ascii="Times New Roman" w:hAnsi="Times New Roman" w:eastAsia="仿宋" w:cs="Times New Roman"/>
                <w:color w:val="auto"/>
              </w:rPr>
            </w:pPr>
          </w:p>
        </w:tc>
        <w:tc>
          <w:tcPr>
            <w:tcW w:w="3084" w:type="pct"/>
            <w:tcBorders>
              <w:top w:val="single" w:color="auto" w:sz="4" w:space="0"/>
              <w:left w:val="single" w:color="auto" w:sz="4" w:space="0"/>
              <w:bottom w:val="single" w:color="auto" w:sz="4" w:space="0"/>
              <w:right w:val="single" w:color="auto" w:sz="4" w:space="0"/>
            </w:tcBorders>
          </w:tcPr>
          <w:p w14:paraId="305C5B4A">
            <w:pPr>
              <w:kinsoku/>
              <w:overflowPunct w:val="0"/>
              <w:topLinePunct/>
              <w:autoSpaceDE/>
              <w:autoSpaceDN/>
              <w:spacing w:before="130" w:line="214" w:lineRule="auto"/>
              <w:ind w:left="0"/>
              <w:jc w:val="center"/>
              <w:rPr>
                <w:rFonts w:hint="default" w:ascii="Times New Roman" w:hAnsi="Times New Roman" w:eastAsia="仿宋" w:cs="Times New Roman"/>
                <w:color w:val="auto"/>
                <w:spacing w:val="-2"/>
              </w:rPr>
            </w:pPr>
            <w:r>
              <w:rPr>
                <w:rFonts w:hint="default" w:ascii="Times New Roman" w:hAnsi="Times New Roman" w:eastAsia="仿宋" w:cs="Times New Roman"/>
                <w:color w:val="auto"/>
                <w:spacing w:val="-2"/>
                <w:sz w:val="21"/>
                <w:szCs w:val="21"/>
                <w:lang w:eastAsia="zh-CN"/>
              </w:rPr>
              <w:t>吸入室外空气中来自表层土壤的气态污染物</w:t>
            </w:r>
          </w:p>
        </w:tc>
        <w:tc>
          <w:tcPr>
            <w:tcW w:w="1054" w:type="pct"/>
            <w:tcBorders>
              <w:top w:val="single" w:color="auto" w:sz="4" w:space="0"/>
              <w:left w:val="single" w:color="auto" w:sz="4" w:space="0"/>
              <w:bottom w:val="single" w:color="auto" w:sz="4" w:space="0"/>
              <w:right w:val="single" w:color="auto" w:sz="12" w:space="0"/>
            </w:tcBorders>
            <w:shd w:val="clear" w:color="auto" w:fill="auto"/>
            <w:vAlign w:val="top"/>
          </w:tcPr>
          <w:p w14:paraId="0825B270">
            <w:pPr>
              <w:pStyle w:val="29"/>
              <w:kinsoku/>
              <w:overflowPunct w:val="0"/>
              <w:topLinePunct/>
              <w:autoSpaceDE/>
              <w:autoSpaceDN/>
              <w:spacing w:before="114" w:line="238" w:lineRule="auto"/>
              <w:jc w:val="center"/>
              <w:rPr>
                <w:rFonts w:hint="default" w:ascii="Times New Roman" w:hAnsi="Times New Roman" w:eastAsia="仿宋" w:cs="Times New Roman"/>
                <w:snapToGrid w:val="0"/>
                <w:color w:val="auto"/>
                <w:sz w:val="21"/>
                <w:szCs w:val="21"/>
                <w:lang w:val="en-US" w:eastAsia="en-US" w:bidi="ar-SA"/>
              </w:rPr>
            </w:pPr>
            <w:r>
              <w:rPr>
                <w:rFonts w:hint="default" w:ascii="Times New Roman" w:hAnsi="Times New Roman" w:eastAsia="仿宋" w:cs="Times New Roman"/>
                <w:color w:val="auto"/>
                <w:sz w:val="21"/>
                <w:szCs w:val="21"/>
              </w:rPr>
              <w:t>√</w:t>
            </w:r>
          </w:p>
        </w:tc>
      </w:tr>
      <w:tr w14:paraId="6C2F9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61" w:type="pct"/>
            <w:vMerge w:val="continue"/>
            <w:tcBorders>
              <w:left w:val="single" w:color="auto" w:sz="12" w:space="0"/>
              <w:right w:val="single" w:color="auto" w:sz="4" w:space="0"/>
            </w:tcBorders>
          </w:tcPr>
          <w:p w14:paraId="3A3420DA">
            <w:pPr>
              <w:kinsoku/>
              <w:overflowPunct w:val="0"/>
              <w:topLinePunct/>
              <w:autoSpaceDE/>
              <w:autoSpaceDN/>
              <w:rPr>
                <w:rFonts w:hint="default" w:ascii="Times New Roman" w:hAnsi="Times New Roman" w:eastAsia="仿宋" w:cs="Times New Roman"/>
                <w:color w:val="auto"/>
              </w:rPr>
            </w:pPr>
          </w:p>
        </w:tc>
        <w:tc>
          <w:tcPr>
            <w:tcW w:w="3084" w:type="pct"/>
            <w:tcBorders>
              <w:top w:val="single" w:color="auto" w:sz="4" w:space="0"/>
              <w:left w:val="single" w:color="auto" w:sz="4" w:space="0"/>
              <w:bottom w:val="single" w:color="auto" w:sz="4" w:space="0"/>
              <w:right w:val="single" w:color="auto" w:sz="4" w:space="0"/>
            </w:tcBorders>
          </w:tcPr>
          <w:p w14:paraId="3C4C7D78">
            <w:pPr>
              <w:kinsoku/>
              <w:overflowPunct w:val="0"/>
              <w:topLinePunct/>
              <w:autoSpaceDE/>
              <w:autoSpaceDN/>
              <w:spacing w:before="130" w:line="214" w:lineRule="auto"/>
              <w:ind w:left="0"/>
              <w:jc w:val="center"/>
              <w:rPr>
                <w:rFonts w:hint="default" w:ascii="Times New Roman" w:hAnsi="Times New Roman" w:eastAsia="仿宋" w:cs="Times New Roman"/>
                <w:color w:val="auto"/>
                <w:spacing w:val="-2"/>
              </w:rPr>
            </w:pPr>
            <w:r>
              <w:rPr>
                <w:rFonts w:hint="default" w:ascii="Times New Roman" w:hAnsi="Times New Roman" w:eastAsia="仿宋" w:cs="Times New Roman"/>
                <w:color w:val="auto"/>
                <w:spacing w:val="-2"/>
                <w:sz w:val="21"/>
                <w:szCs w:val="21"/>
                <w:lang w:eastAsia="zh-CN"/>
              </w:rPr>
              <w:t>吸入室外空气中来自下层土壤的气态污染物</w:t>
            </w:r>
          </w:p>
        </w:tc>
        <w:tc>
          <w:tcPr>
            <w:tcW w:w="1054" w:type="pct"/>
            <w:tcBorders>
              <w:top w:val="single" w:color="auto" w:sz="4" w:space="0"/>
              <w:left w:val="single" w:color="auto" w:sz="4" w:space="0"/>
              <w:bottom w:val="single" w:color="auto" w:sz="4" w:space="0"/>
              <w:right w:val="single" w:color="auto" w:sz="12" w:space="0"/>
            </w:tcBorders>
            <w:shd w:val="clear" w:color="auto" w:fill="auto"/>
            <w:vAlign w:val="top"/>
          </w:tcPr>
          <w:p w14:paraId="07AF435D">
            <w:pPr>
              <w:pStyle w:val="29"/>
              <w:kinsoku/>
              <w:overflowPunct w:val="0"/>
              <w:topLinePunct/>
              <w:autoSpaceDE/>
              <w:autoSpaceDN/>
              <w:spacing w:before="115" w:line="238" w:lineRule="auto"/>
              <w:jc w:val="center"/>
              <w:rPr>
                <w:rFonts w:hint="default" w:ascii="Times New Roman" w:hAnsi="Times New Roman" w:eastAsia="仿宋" w:cs="Times New Roman"/>
                <w:snapToGrid w:val="0"/>
                <w:color w:val="auto"/>
                <w:sz w:val="21"/>
                <w:szCs w:val="21"/>
                <w:lang w:val="en-US" w:eastAsia="en-US" w:bidi="ar-SA"/>
              </w:rPr>
            </w:pPr>
            <w:r>
              <w:rPr>
                <w:rFonts w:hint="default" w:ascii="Times New Roman" w:hAnsi="Times New Roman" w:eastAsia="仿宋" w:cs="Times New Roman"/>
                <w:color w:val="auto"/>
                <w:sz w:val="21"/>
                <w:szCs w:val="21"/>
              </w:rPr>
              <w:t>√</w:t>
            </w:r>
          </w:p>
        </w:tc>
      </w:tr>
      <w:tr w14:paraId="7F293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61" w:type="pct"/>
            <w:vMerge w:val="continue"/>
            <w:tcBorders>
              <w:left w:val="single" w:color="auto" w:sz="12" w:space="0"/>
              <w:bottom w:val="single" w:color="auto" w:sz="4" w:space="0"/>
              <w:right w:val="single" w:color="auto" w:sz="4" w:space="0"/>
            </w:tcBorders>
          </w:tcPr>
          <w:p w14:paraId="01FBC2D8">
            <w:pPr>
              <w:kinsoku/>
              <w:overflowPunct w:val="0"/>
              <w:topLinePunct/>
              <w:autoSpaceDE/>
              <w:autoSpaceDN/>
              <w:rPr>
                <w:rFonts w:hint="default" w:ascii="Times New Roman" w:hAnsi="Times New Roman" w:eastAsia="仿宋" w:cs="Times New Roman"/>
                <w:color w:val="auto"/>
              </w:rPr>
            </w:pPr>
          </w:p>
        </w:tc>
        <w:tc>
          <w:tcPr>
            <w:tcW w:w="3084" w:type="pct"/>
            <w:tcBorders>
              <w:top w:val="single" w:color="auto" w:sz="4" w:space="0"/>
              <w:left w:val="single" w:color="auto" w:sz="4" w:space="0"/>
              <w:bottom w:val="single" w:color="auto" w:sz="4" w:space="0"/>
              <w:right w:val="single" w:color="auto" w:sz="4" w:space="0"/>
            </w:tcBorders>
          </w:tcPr>
          <w:p w14:paraId="3B38E3B7">
            <w:pPr>
              <w:kinsoku/>
              <w:overflowPunct w:val="0"/>
              <w:topLinePunct/>
              <w:autoSpaceDE/>
              <w:autoSpaceDN/>
              <w:spacing w:before="130" w:line="214" w:lineRule="auto"/>
              <w:ind w:left="0"/>
              <w:jc w:val="center"/>
              <w:rPr>
                <w:rFonts w:hint="default" w:ascii="Times New Roman" w:hAnsi="Times New Roman" w:eastAsia="仿宋" w:cs="Times New Roman"/>
                <w:color w:val="auto"/>
                <w:spacing w:val="-2"/>
              </w:rPr>
            </w:pPr>
            <w:r>
              <w:rPr>
                <w:rFonts w:hint="default" w:ascii="Times New Roman" w:hAnsi="Times New Roman" w:eastAsia="仿宋" w:cs="Times New Roman"/>
                <w:color w:val="auto"/>
                <w:spacing w:val="-2"/>
                <w:sz w:val="21"/>
                <w:szCs w:val="21"/>
                <w:lang w:eastAsia="zh-CN"/>
              </w:rPr>
              <w:t>吸入室内空气中来自下层土壤的气态污染物</w:t>
            </w:r>
          </w:p>
        </w:tc>
        <w:tc>
          <w:tcPr>
            <w:tcW w:w="1054" w:type="pct"/>
            <w:tcBorders>
              <w:top w:val="single" w:color="auto" w:sz="4" w:space="0"/>
              <w:left w:val="single" w:color="auto" w:sz="4" w:space="0"/>
              <w:bottom w:val="single" w:color="auto" w:sz="4" w:space="0"/>
              <w:right w:val="single" w:color="auto" w:sz="12" w:space="0"/>
            </w:tcBorders>
            <w:shd w:val="clear" w:color="auto" w:fill="auto"/>
            <w:vAlign w:val="top"/>
          </w:tcPr>
          <w:p w14:paraId="2261649A">
            <w:pPr>
              <w:pStyle w:val="29"/>
              <w:kinsoku/>
              <w:overflowPunct w:val="0"/>
              <w:topLinePunct/>
              <w:autoSpaceDE/>
              <w:autoSpaceDN/>
              <w:spacing w:before="115" w:line="238" w:lineRule="auto"/>
              <w:jc w:val="center"/>
              <w:rPr>
                <w:rFonts w:hint="default" w:ascii="Times New Roman" w:hAnsi="Times New Roman" w:eastAsia="仿宋" w:cs="Times New Roman"/>
                <w:snapToGrid w:val="0"/>
                <w:color w:val="auto"/>
                <w:sz w:val="21"/>
                <w:szCs w:val="21"/>
                <w:lang w:val="en-US" w:eastAsia="en-US" w:bidi="ar-SA"/>
              </w:rPr>
            </w:pPr>
            <w:r>
              <w:rPr>
                <w:rFonts w:hint="default" w:ascii="Times New Roman" w:hAnsi="Times New Roman" w:eastAsia="仿宋" w:cs="Times New Roman"/>
                <w:color w:val="auto"/>
                <w:sz w:val="21"/>
                <w:szCs w:val="21"/>
              </w:rPr>
              <w:t>√</w:t>
            </w:r>
          </w:p>
        </w:tc>
      </w:tr>
      <w:tr w14:paraId="7C6D3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61" w:type="pct"/>
            <w:vMerge w:val="restart"/>
            <w:tcBorders>
              <w:top w:val="single" w:color="auto" w:sz="4" w:space="0"/>
              <w:left w:val="single" w:color="auto" w:sz="12" w:space="0"/>
              <w:right w:val="single" w:color="auto" w:sz="4" w:space="0"/>
            </w:tcBorders>
            <w:vAlign w:val="center"/>
          </w:tcPr>
          <w:p w14:paraId="3DECD225">
            <w:pPr>
              <w:kinsoku/>
              <w:overflowPunct w:val="0"/>
              <w:topLinePunct/>
              <w:autoSpaceDE/>
              <w:autoSpaceDN/>
              <w:spacing w:line="286" w:lineRule="auto"/>
              <w:jc w:val="center"/>
              <w:rPr>
                <w:rFonts w:hint="default" w:ascii="Times New Roman" w:hAnsi="Times New Roman" w:eastAsia="仿宋" w:cs="Times New Roman"/>
                <w:color w:val="auto"/>
              </w:rPr>
            </w:pPr>
            <w:r>
              <w:rPr>
                <w:rFonts w:hint="default" w:ascii="Times New Roman" w:hAnsi="Times New Roman" w:eastAsia="仿宋" w:cs="Times New Roman"/>
                <w:color w:val="auto"/>
                <w:spacing w:val="-2"/>
              </w:rPr>
              <w:t>地下水</w:t>
            </w:r>
          </w:p>
        </w:tc>
        <w:tc>
          <w:tcPr>
            <w:tcW w:w="3084" w:type="pct"/>
            <w:tcBorders>
              <w:top w:val="single" w:color="auto" w:sz="4" w:space="0"/>
              <w:left w:val="single" w:color="auto" w:sz="4" w:space="0"/>
              <w:bottom w:val="single" w:color="auto" w:sz="4" w:space="0"/>
              <w:right w:val="single" w:color="auto" w:sz="4" w:space="0"/>
            </w:tcBorders>
          </w:tcPr>
          <w:p w14:paraId="4146AB76">
            <w:pPr>
              <w:kinsoku/>
              <w:overflowPunct w:val="0"/>
              <w:topLinePunct/>
              <w:autoSpaceDE/>
              <w:autoSpaceDN/>
              <w:spacing w:before="133" w:line="214" w:lineRule="auto"/>
              <w:jc w:val="center"/>
              <w:rPr>
                <w:rFonts w:hint="default" w:ascii="Times New Roman" w:hAnsi="Times New Roman" w:eastAsia="仿宋" w:cs="Times New Roman"/>
                <w:color w:val="auto"/>
                <w:lang w:eastAsia="zh-CN"/>
              </w:rPr>
            </w:pPr>
            <w:r>
              <w:rPr>
                <w:rFonts w:hint="default" w:ascii="Times New Roman" w:hAnsi="Times New Roman" w:eastAsia="仿宋" w:cs="Times New Roman"/>
                <w:color w:val="auto"/>
                <w:lang w:eastAsia="zh-CN"/>
              </w:rPr>
              <w:t>皮肤接触地下水</w:t>
            </w:r>
          </w:p>
        </w:tc>
        <w:tc>
          <w:tcPr>
            <w:tcW w:w="1054" w:type="pct"/>
            <w:tcBorders>
              <w:top w:val="single" w:color="auto" w:sz="4" w:space="0"/>
              <w:left w:val="single" w:color="auto" w:sz="4" w:space="0"/>
              <w:bottom w:val="single" w:color="auto" w:sz="4" w:space="0"/>
              <w:right w:val="single" w:color="auto" w:sz="12" w:space="0"/>
            </w:tcBorders>
          </w:tcPr>
          <w:p w14:paraId="4F2C956C">
            <w:pPr>
              <w:pStyle w:val="29"/>
              <w:kinsoku/>
              <w:overflowPunct w:val="0"/>
              <w:topLinePunct/>
              <w:autoSpaceDE/>
              <w:autoSpaceDN/>
              <w:spacing w:before="117" w:line="238" w:lineRule="auto"/>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w:t>
            </w:r>
          </w:p>
        </w:tc>
      </w:tr>
      <w:tr w14:paraId="563F4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61" w:type="pct"/>
            <w:vMerge w:val="continue"/>
            <w:tcBorders>
              <w:left w:val="single" w:color="auto" w:sz="12" w:space="0"/>
              <w:right w:val="single" w:color="auto" w:sz="4" w:space="0"/>
            </w:tcBorders>
          </w:tcPr>
          <w:p w14:paraId="28637BCE">
            <w:pPr>
              <w:kinsoku/>
              <w:overflowPunct w:val="0"/>
              <w:topLinePunct/>
              <w:autoSpaceDE/>
              <w:autoSpaceDN/>
              <w:spacing w:line="286" w:lineRule="auto"/>
              <w:jc w:val="center"/>
              <w:rPr>
                <w:rFonts w:hint="default" w:ascii="Times New Roman" w:hAnsi="Times New Roman" w:eastAsia="仿宋" w:cs="Times New Roman"/>
                <w:color w:val="auto"/>
                <w:spacing w:val="-2"/>
              </w:rPr>
            </w:pPr>
            <w:bookmarkStart w:id="129" w:name="_Toc12767"/>
            <w:bookmarkStart w:id="130" w:name="_Toc29717"/>
            <w:bookmarkStart w:id="131" w:name="_Toc9145"/>
          </w:p>
        </w:tc>
        <w:tc>
          <w:tcPr>
            <w:tcW w:w="3084" w:type="pct"/>
            <w:tcBorders>
              <w:top w:val="single" w:color="auto" w:sz="4" w:space="0"/>
              <w:left w:val="single" w:color="auto" w:sz="4" w:space="0"/>
              <w:bottom w:val="single" w:color="auto" w:sz="4" w:space="0"/>
              <w:right w:val="single" w:color="auto" w:sz="4" w:space="0"/>
            </w:tcBorders>
          </w:tcPr>
          <w:p w14:paraId="0C826E6F">
            <w:pPr>
              <w:kinsoku/>
              <w:overflowPunct w:val="0"/>
              <w:topLinePunct/>
              <w:autoSpaceDE/>
              <w:autoSpaceDN/>
              <w:spacing w:before="133" w:line="214" w:lineRule="auto"/>
              <w:jc w:val="center"/>
              <w:rPr>
                <w:rFonts w:hint="default" w:ascii="Times New Roman" w:hAnsi="Times New Roman" w:eastAsia="仿宋" w:cs="Times New Roman"/>
                <w:color w:val="auto"/>
                <w:lang w:eastAsia="zh-CN"/>
              </w:rPr>
            </w:pPr>
            <w:r>
              <w:rPr>
                <w:rFonts w:hint="default" w:ascii="Times New Roman" w:hAnsi="Times New Roman" w:eastAsia="仿宋" w:cs="Times New Roman"/>
                <w:color w:val="auto"/>
                <w:spacing w:val="0"/>
                <w:sz w:val="21"/>
                <w:szCs w:val="21"/>
                <w:lang w:eastAsia="zh-CN"/>
              </w:rPr>
              <w:t>吸入室外空气中来自地下水的气态污染物</w:t>
            </w:r>
          </w:p>
        </w:tc>
        <w:tc>
          <w:tcPr>
            <w:tcW w:w="1054" w:type="pct"/>
            <w:tcBorders>
              <w:top w:val="single" w:color="auto" w:sz="4" w:space="0"/>
              <w:left w:val="single" w:color="auto" w:sz="4" w:space="0"/>
              <w:bottom w:val="single" w:color="auto" w:sz="4" w:space="0"/>
              <w:right w:val="single" w:color="auto" w:sz="12" w:space="0"/>
            </w:tcBorders>
          </w:tcPr>
          <w:p w14:paraId="5C866DB6">
            <w:pPr>
              <w:pStyle w:val="29"/>
              <w:kinsoku/>
              <w:overflowPunct w:val="0"/>
              <w:topLinePunct/>
              <w:autoSpaceDE/>
              <w:autoSpaceDN/>
              <w:spacing w:before="117" w:line="238" w:lineRule="auto"/>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w:t>
            </w:r>
          </w:p>
        </w:tc>
      </w:tr>
      <w:tr w14:paraId="0AE55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61" w:type="pct"/>
            <w:vMerge w:val="continue"/>
            <w:tcBorders>
              <w:left w:val="single" w:color="auto" w:sz="12" w:space="0"/>
              <w:bottom w:val="single" w:color="auto" w:sz="4" w:space="0"/>
              <w:right w:val="single" w:color="auto" w:sz="4" w:space="0"/>
            </w:tcBorders>
          </w:tcPr>
          <w:p w14:paraId="02767F96">
            <w:pPr>
              <w:kinsoku/>
              <w:overflowPunct w:val="0"/>
              <w:topLinePunct/>
              <w:autoSpaceDE/>
              <w:autoSpaceDN/>
              <w:spacing w:line="286" w:lineRule="auto"/>
              <w:jc w:val="center"/>
              <w:rPr>
                <w:rFonts w:hint="default" w:ascii="Times New Roman" w:hAnsi="Times New Roman" w:eastAsia="仿宋" w:cs="Times New Roman"/>
                <w:color w:val="auto"/>
                <w:spacing w:val="-2"/>
              </w:rPr>
            </w:pPr>
          </w:p>
        </w:tc>
        <w:tc>
          <w:tcPr>
            <w:tcW w:w="3084" w:type="pct"/>
            <w:tcBorders>
              <w:top w:val="single" w:color="auto" w:sz="4" w:space="0"/>
              <w:left w:val="single" w:color="auto" w:sz="4" w:space="0"/>
              <w:bottom w:val="single" w:color="auto" w:sz="4" w:space="0"/>
              <w:right w:val="single" w:color="auto" w:sz="4" w:space="0"/>
            </w:tcBorders>
          </w:tcPr>
          <w:p w14:paraId="1F7520E1">
            <w:pPr>
              <w:kinsoku/>
              <w:overflowPunct w:val="0"/>
              <w:topLinePunct/>
              <w:autoSpaceDE/>
              <w:autoSpaceDN/>
              <w:spacing w:before="133" w:line="214" w:lineRule="auto"/>
              <w:jc w:val="center"/>
              <w:rPr>
                <w:rFonts w:hint="default" w:ascii="Times New Roman" w:hAnsi="Times New Roman" w:eastAsia="仿宋" w:cs="Times New Roman"/>
                <w:color w:val="auto"/>
                <w:spacing w:val="0"/>
                <w:sz w:val="21"/>
                <w:szCs w:val="21"/>
                <w:lang w:eastAsia="zh-CN"/>
              </w:rPr>
            </w:pPr>
            <w:r>
              <w:rPr>
                <w:rFonts w:hint="default" w:ascii="Times New Roman" w:hAnsi="Times New Roman" w:eastAsia="仿宋" w:cs="Times New Roman"/>
                <w:color w:val="auto"/>
                <w:spacing w:val="0"/>
                <w:sz w:val="21"/>
                <w:szCs w:val="21"/>
                <w:lang w:eastAsia="zh-CN"/>
              </w:rPr>
              <w:t>吸入室内空气中来自地下水的气态污染物</w:t>
            </w:r>
          </w:p>
        </w:tc>
        <w:tc>
          <w:tcPr>
            <w:tcW w:w="1054" w:type="pct"/>
            <w:tcBorders>
              <w:top w:val="single" w:color="auto" w:sz="4" w:space="0"/>
              <w:left w:val="single" w:color="auto" w:sz="4" w:space="0"/>
              <w:bottom w:val="single" w:color="auto" w:sz="4" w:space="0"/>
              <w:right w:val="single" w:color="auto" w:sz="12" w:space="0"/>
            </w:tcBorders>
          </w:tcPr>
          <w:p w14:paraId="3BF00533">
            <w:pPr>
              <w:pStyle w:val="29"/>
              <w:kinsoku/>
              <w:overflowPunct w:val="0"/>
              <w:topLinePunct/>
              <w:autoSpaceDE/>
              <w:autoSpaceDN/>
              <w:spacing w:before="117" w:line="238" w:lineRule="auto"/>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w:t>
            </w:r>
          </w:p>
        </w:tc>
      </w:tr>
    </w:tbl>
    <w:p w14:paraId="05A2EDAB">
      <w:pPr>
        <w:pStyle w:val="8"/>
        <w:kinsoku/>
        <w:overflowPunct w:val="0"/>
        <w:topLinePunct/>
        <w:autoSpaceDE/>
        <w:autoSpaceDN/>
        <w:spacing w:before="121" w:line="360" w:lineRule="auto"/>
        <w:ind w:left="34"/>
        <w:outlineLvl w:val="2"/>
        <w:rPr>
          <w:rFonts w:hint="default" w:ascii="Times New Roman" w:hAnsi="Times New Roman" w:eastAsia="仿宋" w:cs="Times New Roman"/>
          <w:b/>
          <w:bCs/>
          <w:snapToGrid/>
          <w:kern w:val="2"/>
          <w:szCs w:val="32"/>
          <w:lang w:eastAsia="zh-CN"/>
        </w:rPr>
      </w:pPr>
      <w:bookmarkStart w:id="132" w:name="bookmark59"/>
      <w:bookmarkEnd w:id="132"/>
      <w:bookmarkStart w:id="133" w:name="_Toc18862"/>
      <w:r>
        <w:rPr>
          <w:rFonts w:hint="default" w:ascii="Times New Roman" w:hAnsi="Times New Roman" w:eastAsia="仿宋" w:cs="Times New Roman"/>
          <w:b/>
          <w:bCs/>
          <w:snapToGrid/>
          <w:kern w:val="2"/>
          <w:szCs w:val="32"/>
          <w:lang w:eastAsia="zh-CN"/>
        </w:rPr>
        <w:t>5.2.3 暴露评估计算模型</w:t>
      </w:r>
      <w:bookmarkEnd w:id="129"/>
      <w:bookmarkEnd w:id="130"/>
      <w:bookmarkEnd w:id="131"/>
      <w:bookmarkEnd w:id="133"/>
    </w:p>
    <w:p w14:paraId="23445AC2">
      <w:pPr>
        <w:pStyle w:val="8"/>
        <w:kinsoku/>
        <w:overflowPunct w:val="0"/>
        <w:topLinePunct/>
        <w:autoSpaceDE/>
        <w:autoSpaceDN/>
        <w:spacing w:before="156" w:line="327" w:lineRule="auto"/>
        <w:ind w:left="41" w:right="24" w:firstLine="553"/>
        <w:jc w:val="both"/>
        <w:rPr>
          <w:rFonts w:hint="default" w:ascii="Times New Roman" w:hAnsi="Times New Roman" w:eastAsia="仿宋" w:cs="Times New Roman"/>
          <w:color w:val="0000FF"/>
          <w:lang w:eastAsia="zh-CN"/>
        </w:rPr>
      </w:pPr>
      <w:r>
        <w:rPr>
          <w:rFonts w:hint="default" w:ascii="Times New Roman" w:hAnsi="Times New Roman" w:eastAsia="仿宋" w:cs="Times New Roman"/>
          <w:color w:val="auto"/>
          <w:spacing w:val="2"/>
          <w:lang w:eastAsia="zh-CN"/>
        </w:rPr>
        <w:t>根据本地块污染情况及水文地质条件，主要的暴露途径及其计算</w:t>
      </w:r>
      <w:r>
        <w:rPr>
          <w:rFonts w:hint="default" w:ascii="Times New Roman" w:hAnsi="Times New Roman" w:eastAsia="仿宋" w:cs="Times New Roman"/>
          <w:color w:val="auto"/>
          <w:spacing w:val="1"/>
          <w:lang w:eastAsia="zh-CN"/>
        </w:rPr>
        <w:t>模型</w:t>
      </w:r>
      <w:r>
        <w:rPr>
          <w:rFonts w:hint="default" w:ascii="Times New Roman" w:hAnsi="Times New Roman" w:eastAsia="仿宋" w:cs="Times New Roman"/>
          <w:color w:val="auto"/>
          <w:spacing w:val="-2"/>
          <w:lang w:eastAsia="zh-CN"/>
        </w:rPr>
        <w:t>主要有</w:t>
      </w:r>
      <w:r>
        <w:rPr>
          <w:rFonts w:hint="default" w:ascii="Times New Roman" w:hAnsi="Times New Roman" w:eastAsia="仿宋" w:cs="Times New Roman"/>
          <w:color w:val="auto"/>
          <w:spacing w:val="-2"/>
          <w:lang w:val="en-US" w:eastAsia="zh-CN"/>
        </w:rPr>
        <w:t>9</w:t>
      </w:r>
      <w:r>
        <w:rPr>
          <w:rFonts w:hint="default" w:ascii="Times New Roman" w:hAnsi="Times New Roman" w:eastAsia="仿宋" w:cs="Times New Roman"/>
          <w:color w:val="auto"/>
          <w:spacing w:val="-2"/>
          <w:lang w:eastAsia="zh-CN"/>
        </w:rPr>
        <w:t>种，分别为经口摄入土壤、皮肤接触土壤、吸入土壤颗粒</w:t>
      </w:r>
      <w:r>
        <w:rPr>
          <w:rFonts w:hint="default" w:ascii="Times New Roman" w:hAnsi="Times New Roman" w:eastAsia="仿宋" w:cs="Times New Roman"/>
          <w:color w:val="auto"/>
          <w:spacing w:val="2"/>
          <w:lang w:eastAsia="zh-CN"/>
        </w:rPr>
        <w:t>物</w:t>
      </w:r>
      <w:r>
        <w:rPr>
          <w:rFonts w:hint="default" w:ascii="Times New Roman" w:hAnsi="Times New Roman" w:eastAsia="仿宋" w:cs="Times New Roman"/>
          <w:color w:val="auto"/>
          <w:spacing w:val="1"/>
          <w:lang w:eastAsia="zh-CN"/>
        </w:rPr>
        <w:t>、吸入室外空气中来自表层土壤的气态污染物、吸入室外空气中来自下层土壤的气态污染物、吸入室内空气中来自下层土壤的气态污染物、皮肤接触地下水、</w:t>
      </w:r>
      <w:r>
        <w:rPr>
          <w:rFonts w:hint="default" w:ascii="Times New Roman" w:hAnsi="Times New Roman" w:eastAsia="仿宋" w:cs="Times New Roman"/>
          <w:color w:val="auto"/>
          <w:spacing w:val="1"/>
          <w:lang w:val="en-US" w:eastAsia="zh-CN"/>
        </w:rPr>
        <w:t>吸入室外空气中来自地下水的气态污染物、</w:t>
      </w:r>
      <w:r>
        <w:rPr>
          <w:rFonts w:hint="default" w:ascii="Times New Roman" w:hAnsi="Times New Roman" w:eastAsia="仿宋" w:cs="Times New Roman"/>
          <w:color w:val="auto"/>
          <w:spacing w:val="1"/>
          <w:sz w:val="28"/>
          <w:szCs w:val="28"/>
          <w:lang w:eastAsia="zh-CN"/>
        </w:rPr>
        <w:t>吸入室内空气中来自地下水的气态污染物</w:t>
      </w:r>
      <w:r>
        <w:rPr>
          <w:rFonts w:hint="default" w:ascii="Times New Roman" w:hAnsi="Times New Roman" w:eastAsia="仿宋" w:cs="Times New Roman"/>
          <w:color w:val="auto"/>
          <w:spacing w:val="-3"/>
          <w:lang w:eastAsia="zh-CN"/>
        </w:rPr>
        <w:t>。</w:t>
      </w:r>
    </w:p>
    <w:p w14:paraId="526D8977">
      <w:pPr>
        <w:kinsoku/>
        <w:overflowPunct w:val="0"/>
        <w:topLinePunct/>
        <w:autoSpaceDE/>
        <w:autoSpaceDN/>
        <w:adjustRightInd/>
        <w:snapToGrid/>
        <w:spacing w:before="120" w:beforeLines="50" w:line="360" w:lineRule="auto"/>
        <w:jc w:val="both"/>
        <w:textAlignment w:val="auto"/>
        <w:outlineLvl w:val="1"/>
        <w:rPr>
          <w:rFonts w:hint="default" w:ascii="Times New Roman" w:hAnsi="Times New Roman" w:eastAsia="仿宋" w:cs="Times New Roman"/>
          <w:b/>
          <w:bCs/>
          <w:snapToGrid/>
          <w:kern w:val="2"/>
          <w:sz w:val="30"/>
          <w:szCs w:val="30"/>
          <w:lang w:eastAsia="zh-CN"/>
        </w:rPr>
      </w:pPr>
      <w:bookmarkStart w:id="134" w:name="bookmark60"/>
      <w:bookmarkEnd w:id="134"/>
      <w:bookmarkStart w:id="135" w:name="bookmark61"/>
      <w:bookmarkEnd w:id="135"/>
      <w:bookmarkStart w:id="136" w:name="_Toc15914"/>
      <w:bookmarkStart w:id="137" w:name="_Toc13933"/>
      <w:r>
        <w:rPr>
          <w:rFonts w:hint="default" w:ascii="Times New Roman" w:hAnsi="Times New Roman" w:eastAsia="仿宋" w:cs="Times New Roman"/>
          <w:b/>
          <w:bCs/>
          <w:snapToGrid/>
          <w:kern w:val="2"/>
          <w:sz w:val="30"/>
          <w:szCs w:val="30"/>
          <w:lang w:eastAsia="zh-CN"/>
        </w:rPr>
        <w:t>5.3 地块毒性评估</w:t>
      </w:r>
      <w:bookmarkEnd w:id="136"/>
      <w:bookmarkEnd w:id="137"/>
    </w:p>
    <w:p w14:paraId="4F3F82C1">
      <w:pPr>
        <w:kinsoku/>
        <w:overflowPunct w:val="0"/>
        <w:topLinePunct/>
        <w:autoSpaceDE/>
        <w:autoSpaceDN/>
        <w:spacing w:line="360" w:lineRule="auto"/>
        <w:ind w:left="34" w:right="278" w:firstLine="567"/>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pacing w:val="2"/>
          <w:sz w:val="28"/>
          <w:szCs w:val="28"/>
          <w:lang w:eastAsia="zh-CN"/>
        </w:rPr>
        <w:t>毒性评估的工作内容是在危害识别的基础上，分</w:t>
      </w:r>
      <w:r>
        <w:rPr>
          <w:rFonts w:hint="default" w:ascii="Times New Roman" w:hAnsi="Times New Roman" w:eastAsia="仿宋" w:cs="Times New Roman"/>
          <w:color w:val="auto"/>
          <w:spacing w:val="1"/>
          <w:sz w:val="28"/>
          <w:szCs w:val="28"/>
          <w:lang w:eastAsia="zh-CN"/>
        </w:rPr>
        <w:t>析关注污染物对人体</w:t>
      </w:r>
      <w:r>
        <w:rPr>
          <w:rFonts w:hint="default" w:ascii="Times New Roman" w:hAnsi="Times New Roman" w:eastAsia="仿宋" w:cs="Times New Roman"/>
          <w:color w:val="auto"/>
          <w:spacing w:val="2"/>
          <w:sz w:val="28"/>
          <w:szCs w:val="28"/>
          <w:lang w:eastAsia="zh-CN"/>
        </w:rPr>
        <w:t>健康的危害效应，包括致癌效应和非致癌效应。确定与关注污染</w:t>
      </w:r>
      <w:r>
        <w:rPr>
          <w:rFonts w:hint="default" w:ascii="Times New Roman" w:hAnsi="Times New Roman" w:eastAsia="仿宋" w:cs="Times New Roman"/>
          <w:color w:val="auto"/>
          <w:spacing w:val="1"/>
          <w:sz w:val="28"/>
          <w:szCs w:val="28"/>
          <w:lang w:eastAsia="zh-CN"/>
        </w:rPr>
        <w:t>物相关的</w:t>
      </w:r>
      <w:r>
        <w:rPr>
          <w:rFonts w:hint="default" w:ascii="Times New Roman" w:hAnsi="Times New Roman" w:eastAsia="仿宋" w:cs="Times New Roman"/>
          <w:color w:val="auto"/>
          <w:spacing w:val="2"/>
          <w:sz w:val="28"/>
          <w:szCs w:val="28"/>
          <w:lang w:eastAsia="zh-CN"/>
        </w:rPr>
        <w:t>的参数：包括致癌效应毒性参数、非致癌效应毒性参数及污染物</w:t>
      </w:r>
      <w:r>
        <w:rPr>
          <w:rFonts w:hint="default" w:ascii="Times New Roman" w:hAnsi="Times New Roman" w:eastAsia="仿宋" w:cs="Times New Roman"/>
          <w:color w:val="auto"/>
          <w:spacing w:val="1"/>
          <w:sz w:val="28"/>
          <w:szCs w:val="28"/>
          <w:lang w:eastAsia="zh-CN"/>
        </w:rPr>
        <w:t>的理化性</w:t>
      </w:r>
      <w:r>
        <w:rPr>
          <w:rFonts w:hint="default" w:ascii="Times New Roman" w:hAnsi="Times New Roman" w:eastAsia="仿宋" w:cs="Times New Roman"/>
          <w:color w:val="auto"/>
          <w:spacing w:val="-12"/>
          <w:sz w:val="28"/>
          <w:szCs w:val="28"/>
          <w:lang w:eastAsia="zh-CN"/>
        </w:rPr>
        <w:t>质参数。</w:t>
      </w:r>
    </w:p>
    <w:p w14:paraId="52880EDD">
      <w:pPr>
        <w:kinsoku/>
        <w:overflowPunct w:val="0"/>
        <w:topLinePunct/>
        <w:autoSpaceDE/>
        <w:autoSpaceDN/>
        <w:spacing w:before="3" w:line="360" w:lineRule="auto"/>
        <w:ind w:left="29" w:right="290" w:firstLine="580"/>
        <w:jc w:val="both"/>
        <w:rPr>
          <w:rFonts w:hint="default" w:ascii="Times New Roman" w:hAnsi="Times New Roman" w:eastAsia="仿宋" w:cs="Times New Roman"/>
          <w:color w:val="auto"/>
          <w:spacing w:val="-1"/>
          <w:sz w:val="28"/>
          <w:szCs w:val="28"/>
          <w:lang w:eastAsia="zh-CN"/>
        </w:rPr>
      </w:pPr>
      <w:r>
        <w:rPr>
          <w:rFonts w:hint="default" w:ascii="Times New Roman" w:hAnsi="Times New Roman" w:eastAsia="仿宋" w:cs="Times New Roman"/>
          <w:color w:val="auto"/>
          <w:spacing w:val="-5"/>
          <w:sz w:val="28"/>
          <w:szCs w:val="28"/>
          <w:lang w:eastAsia="zh-CN"/>
        </w:rPr>
        <w:t>致癌效应毒性参数包括呼吸吸入单位致癌因子（IUR）</w:t>
      </w:r>
      <w:r>
        <w:rPr>
          <w:rFonts w:hint="default" w:ascii="Times New Roman" w:hAnsi="Times New Roman" w:eastAsia="仿宋" w:cs="Times New Roman"/>
          <w:color w:val="auto"/>
          <w:spacing w:val="-6"/>
          <w:sz w:val="28"/>
          <w:szCs w:val="28"/>
          <w:lang w:eastAsia="zh-CN"/>
        </w:rPr>
        <w:t>、呼吸吸入致癌斜率因子（SF</w:t>
      </w:r>
      <w:r>
        <w:rPr>
          <w:rFonts w:hint="default" w:ascii="Times New Roman" w:hAnsi="Times New Roman" w:eastAsia="仿宋" w:cs="Times New Roman"/>
          <w:color w:val="auto"/>
          <w:spacing w:val="-6"/>
          <w:sz w:val="28"/>
          <w:szCs w:val="28"/>
          <w:vertAlign w:val="subscript"/>
          <w:lang w:eastAsia="zh-CN"/>
        </w:rPr>
        <w:t>i</w:t>
      </w:r>
      <w:r>
        <w:rPr>
          <w:rFonts w:hint="default" w:ascii="Times New Roman" w:hAnsi="Times New Roman" w:eastAsia="仿宋" w:cs="Times New Roman"/>
          <w:color w:val="auto"/>
          <w:spacing w:val="-6"/>
          <w:sz w:val="28"/>
          <w:szCs w:val="28"/>
          <w:lang w:eastAsia="zh-CN"/>
        </w:rPr>
        <w:t>）、经口摄入致癌斜率因子（SF</w:t>
      </w:r>
      <w:r>
        <w:rPr>
          <w:rFonts w:hint="default" w:ascii="Times New Roman" w:hAnsi="Times New Roman" w:eastAsia="仿宋" w:cs="Times New Roman"/>
          <w:color w:val="auto"/>
          <w:spacing w:val="-6"/>
          <w:sz w:val="28"/>
          <w:szCs w:val="28"/>
          <w:vertAlign w:val="subscript"/>
          <w:lang w:eastAsia="zh-CN"/>
        </w:rPr>
        <w:t>o</w:t>
      </w:r>
      <w:r>
        <w:rPr>
          <w:rFonts w:hint="default" w:ascii="Times New Roman" w:hAnsi="Times New Roman" w:eastAsia="仿宋" w:cs="Times New Roman"/>
          <w:color w:val="auto"/>
          <w:spacing w:val="-6"/>
          <w:sz w:val="28"/>
          <w:szCs w:val="28"/>
          <w:lang w:eastAsia="zh-CN"/>
        </w:rPr>
        <w:t>）和皮</w:t>
      </w:r>
      <w:r>
        <w:rPr>
          <w:rFonts w:hint="default" w:ascii="Times New Roman" w:hAnsi="Times New Roman" w:eastAsia="仿宋" w:cs="Times New Roman"/>
          <w:color w:val="auto"/>
          <w:spacing w:val="-7"/>
          <w:sz w:val="28"/>
          <w:szCs w:val="28"/>
          <w:lang w:eastAsia="zh-CN"/>
        </w:rPr>
        <w:t>肤接触致癌斜率因子</w:t>
      </w:r>
      <w:r>
        <w:rPr>
          <w:rFonts w:hint="default" w:ascii="Times New Roman" w:hAnsi="Times New Roman" w:eastAsia="仿宋" w:cs="Times New Roman"/>
          <w:color w:val="auto"/>
          <w:spacing w:val="-1"/>
          <w:sz w:val="28"/>
          <w:szCs w:val="28"/>
          <w:lang w:eastAsia="zh-CN"/>
        </w:rPr>
        <w:t>（SF</w:t>
      </w:r>
      <w:r>
        <w:rPr>
          <w:rFonts w:hint="default" w:ascii="Times New Roman" w:hAnsi="Times New Roman" w:eastAsia="仿宋" w:cs="Times New Roman"/>
          <w:color w:val="auto"/>
          <w:spacing w:val="-1"/>
          <w:sz w:val="28"/>
          <w:szCs w:val="28"/>
          <w:vertAlign w:val="subscript"/>
          <w:lang w:eastAsia="zh-CN"/>
        </w:rPr>
        <w:t>d</w:t>
      </w:r>
      <w:r>
        <w:rPr>
          <w:rFonts w:hint="default" w:ascii="Times New Roman" w:hAnsi="Times New Roman" w:eastAsia="仿宋" w:cs="Times New Roman"/>
          <w:color w:val="auto"/>
          <w:spacing w:val="-1"/>
          <w:sz w:val="28"/>
          <w:szCs w:val="28"/>
          <w:lang w:eastAsia="zh-CN"/>
        </w:rPr>
        <w:t>）；</w:t>
      </w:r>
    </w:p>
    <w:p w14:paraId="48AF0B94">
      <w:pPr>
        <w:kinsoku/>
        <w:overflowPunct w:val="0"/>
        <w:topLinePunct/>
        <w:autoSpaceDE/>
        <w:autoSpaceDN/>
        <w:spacing w:before="3" w:line="360" w:lineRule="auto"/>
        <w:ind w:left="29" w:right="290" w:firstLine="580"/>
        <w:jc w:val="both"/>
        <w:rPr>
          <w:rFonts w:hint="default" w:ascii="Times New Roman" w:hAnsi="Times New Roman" w:eastAsia="仿宋" w:cs="Times New Roman"/>
          <w:color w:val="auto"/>
          <w:spacing w:val="-24"/>
          <w:sz w:val="28"/>
          <w:szCs w:val="28"/>
          <w:lang w:eastAsia="zh-CN"/>
        </w:rPr>
      </w:pPr>
      <w:r>
        <w:rPr>
          <w:rFonts w:hint="default" w:ascii="Times New Roman" w:hAnsi="Times New Roman" w:eastAsia="仿宋" w:cs="Times New Roman"/>
          <w:color w:val="auto"/>
          <w:spacing w:val="-1"/>
          <w:sz w:val="28"/>
          <w:szCs w:val="28"/>
          <w:lang w:eastAsia="zh-CN"/>
        </w:rPr>
        <w:t>非致癌效应毒性参数包括呼吸吸入参考浓度（RfC）、呼吸吸入</w:t>
      </w:r>
      <w:r>
        <w:rPr>
          <w:rFonts w:hint="default" w:ascii="Times New Roman" w:hAnsi="Times New Roman" w:eastAsia="仿宋" w:cs="Times New Roman"/>
          <w:color w:val="auto"/>
          <w:spacing w:val="-23"/>
          <w:sz w:val="28"/>
          <w:szCs w:val="28"/>
          <w:lang w:eastAsia="zh-CN"/>
        </w:rPr>
        <w:t>参考剂量（RfD</w:t>
      </w:r>
      <w:r>
        <w:rPr>
          <w:rFonts w:hint="default" w:ascii="Times New Roman" w:hAnsi="Times New Roman" w:eastAsia="仿宋" w:cs="Times New Roman"/>
          <w:color w:val="auto"/>
          <w:spacing w:val="-23"/>
          <w:sz w:val="28"/>
          <w:szCs w:val="28"/>
          <w:vertAlign w:val="subscript"/>
          <w:lang w:eastAsia="zh-CN"/>
        </w:rPr>
        <w:t>i</w:t>
      </w:r>
      <w:r>
        <w:rPr>
          <w:rFonts w:hint="default" w:ascii="Times New Roman" w:hAnsi="Times New Roman" w:eastAsia="仿宋" w:cs="Times New Roman"/>
          <w:color w:val="auto"/>
          <w:spacing w:val="-23"/>
          <w:sz w:val="28"/>
          <w:szCs w:val="28"/>
          <w:lang w:eastAsia="zh-CN"/>
        </w:rPr>
        <w:t>）、经口摄入参考剂量（RfD</w:t>
      </w:r>
      <w:r>
        <w:rPr>
          <w:rFonts w:hint="default" w:ascii="Times New Roman" w:hAnsi="Times New Roman" w:eastAsia="仿宋" w:cs="Times New Roman"/>
          <w:color w:val="auto"/>
          <w:spacing w:val="-23"/>
          <w:sz w:val="28"/>
          <w:szCs w:val="28"/>
          <w:vertAlign w:val="subscript"/>
          <w:lang w:eastAsia="zh-CN"/>
        </w:rPr>
        <w:t>o</w:t>
      </w:r>
      <w:r>
        <w:rPr>
          <w:rFonts w:hint="default" w:ascii="Times New Roman" w:hAnsi="Times New Roman" w:eastAsia="仿宋" w:cs="Times New Roman"/>
          <w:color w:val="auto"/>
          <w:spacing w:val="-23"/>
          <w:sz w:val="28"/>
          <w:szCs w:val="28"/>
          <w:lang w:eastAsia="zh-CN"/>
        </w:rPr>
        <w:t>）和皮肤接触参考剂</w:t>
      </w:r>
      <w:r>
        <w:rPr>
          <w:rFonts w:hint="default" w:ascii="Times New Roman" w:hAnsi="Times New Roman" w:eastAsia="仿宋" w:cs="Times New Roman"/>
          <w:color w:val="auto"/>
          <w:spacing w:val="-24"/>
          <w:sz w:val="28"/>
          <w:szCs w:val="28"/>
          <w:lang w:eastAsia="zh-CN"/>
        </w:rPr>
        <w:t>量（RfD</w:t>
      </w:r>
      <w:r>
        <w:rPr>
          <w:rFonts w:hint="default" w:ascii="Times New Roman" w:hAnsi="Times New Roman" w:eastAsia="仿宋" w:cs="Times New Roman"/>
          <w:color w:val="auto"/>
          <w:spacing w:val="-24"/>
          <w:sz w:val="28"/>
          <w:szCs w:val="28"/>
          <w:vertAlign w:val="subscript"/>
          <w:lang w:eastAsia="zh-CN"/>
        </w:rPr>
        <w:t>d</w:t>
      </w:r>
      <w:r>
        <w:rPr>
          <w:rFonts w:hint="default" w:ascii="Times New Roman" w:hAnsi="Times New Roman" w:eastAsia="仿宋" w:cs="Times New Roman"/>
          <w:color w:val="auto"/>
          <w:spacing w:val="-24"/>
          <w:sz w:val="28"/>
          <w:szCs w:val="28"/>
          <w:lang w:eastAsia="zh-CN"/>
        </w:rPr>
        <w:t>）；</w:t>
      </w:r>
    </w:p>
    <w:p w14:paraId="7E5BF7B1">
      <w:pPr>
        <w:kinsoku/>
        <w:overflowPunct w:val="0"/>
        <w:topLinePunct/>
        <w:autoSpaceDE/>
        <w:autoSpaceDN/>
        <w:spacing w:before="3" w:line="360" w:lineRule="auto"/>
        <w:ind w:left="29" w:right="290" w:firstLine="580"/>
        <w:jc w:val="both"/>
        <w:rPr>
          <w:rFonts w:hint="default" w:ascii="Times New Roman" w:hAnsi="Times New Roman" w:eastAsia="仿宋" w:cs="Times New Roman"/>
          <w:color w:val="0000FF"/>
          <w:sz w:val="28"/>
          <w:szCs w:val="28"/>
          <w:lang w:eastAsia="zh-CN"/>
        </w:rPr>
      </w:pPr>
      <w:r>
        <w:rPr>
          <w:rFonts w:hint="default" w:ascii="Times New Roman" w:hAnsi="Times New Roman" w:eastAsia="仿宋" w:cs="Times New Roman"/>
          <w:color w:val="auto"/>
          <w:spacing w:val="-23"/>
          <w:sz w:val="28"/>
          <w:szCs w:val="28"/>
          <w:lang w:eastAsia="zh-CN"/>
        </w:rPr>
        <w:t>污染物的理化性质参数包括无量纲亨利常数（H ’）、</w:t>
      </w:r>
      <w:r>
        <w:rPr>
          <w:rFonts w:hint="default" w:ascii="Times New Roman" w:hAnsi="Times New Roman" w:eastAsia="仿宋" w:cs="Times New Roman"/>
          <w:color w:val="auto"/>
          <w:spacing w:val="-24"/>
          <w:sz w:val="28"/>
          <w:szCs w:val="28"/>
          <w:lang w:eastAsia="zh-CN"/>
        </w:rPr>
        <w:t>空气中扩散系数（D</w:t>
      </w:r>
      <w:r>
        <w:rPr>
          <w:rFonts w:hint="default" w:ascii="Times New Roman" w:hAnsi="Times New Roman" w:eastAsia="仿宋" w:cs="Times New Roman"/>
          <w:color w:val="auto"/>
          <w:spacing w:val="-24"/>
          <w:sz w:val="28"/>
          <w:szCs w:val="28"/>
          <w:vertAlign w:val="subscript"/>
          <w:lang w:eastAsia="zh-CN"/>
        </w:rPr>
        <w:t>a</w:t>
      </w:r>
      <w:r>
        <w:rPr>
          <w:rFonts w:hint="default" w:ascii="Times New Roman" w:hAnsi="Times New Roman" w:eastAsia="仿宋" w:cs="Times New Roman"/>
          <w:color w:val="auto"/>
          <w:spacing w:val="-24"/>
          <w:sz w:val="28"/>
          <w:szCs w:val="28"/>
          <w:lang w:eastAsia="zh-CN"/>
        </w:rPr>
        <w:t>）、</w:t>
      </w:r>
      <w:r>
        <w:rPr>
          <w:rFonts w:hint="default" w:ascii="Times New Roman" w:hAnsi="Times New Roman" w:eastAsia="仿宋" w:cs="Times New Roman"/>
          <w:color w:val="auto"/>
          <w:spacing w:val="-15"/>
          <w:sz w:val="28"/>
          <w:szCs w:val="28"/>
          <w:lang w:eastAsia="zh-CN"/>
        </w:rPr>
        <w:t>水中扩散系数（D</w:t>
      </w:r>
      <w:r>
        <w:rPr>
          <w:rFonts w:hint="default" w:ascii="Times New Roman" w:hAnsi="Times New Roman" w:eastAsia="仿宋" w:cs="Times New Roman"/>
          <w:color w:val="auto"/>
          <w:spacing w:val="-15"/>
          <w:sz w:val="28"/>
          <w:szCs w:val="28"/>
          <w:vertAlign w:val="subscript"/>
          <w:lang w:eastAsia="zh-CN"/>
        </w:rPr>
        <w:t>w</w:t>
      </w:r>
      <w:r>
        <w:rPr>
          <w:rFonts w:hint="default" w:ascii="Times New Roman" w:hAnsi="Times New Roman" w:eastAsia="仿宋" w:cs="Times New Roman"/>
          <w:color w:val="auto"/>
          <w:spacing w:val="-15"/>
          <w:sz w:val="28"/>
          <w:szCs w:val="28"/>
          <w:lang w:eastAsia="zh-CN"/>
        </w:rPr>
        <w:t>）、土壤-有机碳分配系数（K</w:t>
      </w:r>
      <w:r>
        <w:rPr>
          <w:rFonts w:hint="default" w:ascii="Times New Roman" w:hAnsi="Times New Roman" w:eastAsia="仿宋" w:cs="Times New Roman"/>
          <w:color w:val="auto"/>
          <w:spacing w:val="-15"/>
          <w:sz w:val="28"/>
          <w:szCs w:val="28"/>
          <w:vertAlign w:val="subscript"/>
          <w:lang w:eastAsia="zh-CN"/>
        </w:rPr>
        <w:t>oc</w:t>
      </w:r>
      <w:r>
        <w:rPr>
          <w:rFonts w:hint="default" w:ascii="Times New Roman" w:hAnsi="Times New Roman" w:eastAsia="仿宋" w:cs="Times New Roman"/>
          <w:color w:val="auto"/>
          <w:spacing w:val="-15"/>
          <w:sz w:val="28"/>
          <w:szCs w:val="28"/>
          <w:lang w:eastAsia="zh-CN"/>
        </w:rPr>
        <w:t>）、水中溶解度（S）等。</w:t>
      </w:r>
    </w:p>
    <w:p w14:paraId="293A33B8">
      <w:pPr>
        <w:pStyle w:val="8"/>
        <w:kinsoku/>
        <w:overflowPunct w:val="0"/>
        <w:topLinePunct/>
        <w:autoSpaceDE/>
        <w:autoSpaceDN/>
        <w:spacing w:before="21" w:line="330" w:lineRule="auto"/>
        <w:ind w:left="40" w:right="24" w:firstLine="558"/>
        <w:jc w:val="both"/>
        <w:rPr>
          <w:rFonts w:hint="default" w:ascii="Times New Roman" w:hAnsi="Times New Roman" w:eastAsia="仿宋" w:cs="Times New Roman"/>
          <w:color w:val="auto"/>
          <w:lang w:eastAsia="zh-CN"/>
        </w:rPr>
      </w:pPr>
      <w:r>
        <w:rPr>
          <w:rFonts w:hint="default" w:ascii="Times New Roman" w:hAnsi="Times New Roman" w:eastAsia="仿宋" w:cs="Times New Roman"/>
          <w:color w:val="auto"/>
          <w:spacing w:val="2"/>
          <w:lang w:eastAsia="zh-CN"/>
        </w:rPr>
        <w:t>评估过程中关注污染物的毒性参数值主要来源于《建设用地土</w:t>
      </w:r>
      <w:r>
        <w:rPr>
          <w:rFonts w:hint="default" w:ascii="Times New Roman" w:hAnsi="Times New Roman" w:eastAsia="仿宋" w:cs="Times New Roman"/>
          <w:color w:val="auto"/>
          <w:spacing w:val="1"/>
          <w:lang w:eastAsia="zh-CN"/>
        </w:rPr>
        <w:t>壤污染</w:t>
      </w:r>
      <w:r>
        <w:rPr>
          <w:rFonts w:hint="default" w:ascii="Times New Roman" w:hAnsi="Times New Roman" w:eastAsia="仿宋" w:cs="Times New Roman"/>
          <w:color w:val="auto"/>
          <w:lang w:eastAsia="zh-CN"/>
        </w:rPr>
        <w:t>风险评估技术导则》（HJ25.3-2019）。本地块土壤关注污染和地下水关注</w:t>
      </w:r>
      <w:r>
        <w:rPr>
          <w:rFonts w:hint="default" w:ascii="Times New Roman" w:hAnsi="Times New Roman" w:eastAsia="仿宋" w:cs="Times New Roman"/>
          <w:color w:val="auto"/>
          <w:spacing w:val="-4"/>
          <w:lang w:eastAsia="zh-CN"/>
        </w:rPr>
        <w:t>污染物的毒性参数见表</w:t>
      </w:r>
      <w:r>
        <w:rPr>
          <w:rFonts w:hint="default" w:ascii="Times New Roman" w:hAnsi="Times New Roman" w:eastAsia="仿宋" w:cs="Times New Roman"/>
          <w:color w:val="auto"/>
          <w:spacing w:val="-56"/>
          <w:lang w:eastAsia="zh-CN"/>
        </w:rPr>
        <w:t xml:space="preserve"> </w:t>
      </w:r>
      <w:r>
        <w:rPr>
          <w:rFonts w:hint="default" w:ascii="Times New Roman" w:hAnsi="Times New Roman" w:eastAsia="仿宋" w:cs="Times New Roman"/>
          <w:color w:val="auto"/>
          <w:spacing w:val="-4"/>
          <w:lang w:eastAsia="zh-CN"/>
        </w:rPr>
        <w:t>5.3-1，污染物理化性质参</w:t>
      </w:r>
      <w:r>
        <w:rPr>
          <w:rFonts w:hint="default" w:ascii="Times New Roman" w:hAnsi="Times New Roman" w:eastAsia="仿宋" w:cs="Times New Roman"/>
          <w:color w:val="auto"/>
          <w:spacing w:val="-5"/>
          <w:lang w:eastAsia="zh-CN"/>
        </w:rPr>
        <w:t>数见表</w:t>
      </w:r>
      <w:r>
        <w:rPr>
          <w:rFonts w:hint="default" w:ascii="Times New Roman" w:hAnsi="Times New Roman" w:eastAsia="仿宋" w:cs="Times New Roman"/>
          <w:color w:val="auto"/>
          <w:spacing w:val="-56"/>
          <w:lang w:eastAsia="zh-CN"/>
        </w:rPr>
        <w:t xml:space="preserve"> </w:t>
      </w:r>
      <w:r>
        <w:rPr>
          <w:rFonts w:hint="default" w:ascii="Times New Roman" w:hAnsi="Times New Roman" w:eastAsia="仿宋" w:cs="Times New Roman"/>
          <w:color w:val="auto"/>
          <w:spacing w:val="-4"/>
          <w:lang w:eastAsia="zh-CN"/>
        </w:rPr>
        <w:t>5.3-2</w:t>
      </w:r>
      <w:r>
        <w:rPr>
          <w:rFonts w:hint="default" w:ascii="Times New Roman" w:hAnsi="Times New Roman" w:eastAsia="仿宋" w:cs="Times New Roman"/>
          <w:color w:val="auto"/>
          <w:spacing w:val="-5"/>
          <w:lang w:eastAsia="zh-CN"/>
        </w:rPr>
        <w:t>，污染物毒理毒</w:t>
      </w:r>
      <w:r>
        <w:rPr>
          <w:rFonts w:hint="default" w:ascii="Times New Roman" w:hAnsi="Times New Roman" w:eastAsia="仿宋" w:cs="Times New Roman"/>
          <w:color w:val="auto"/>
          <w:spacing w:val="-3"/>
          <w:lang w:eastAsia="zh-CN"/>
        </w:rPr>
        <w:t>性见表</w:t>
      </w:r>
      <w:r>
        <w:rPr>
          <w:rFonts w:hint="default" w:ascii="Times New Roman" w:hAnsi="Times New Roman" w:eastAsia="仿宋" w:cs="Times New Roman"/>
          <w:color w:val="auto"/>
          <w:spacing w:val="-58"/>
          <w:lang w:eastAsia="zh-CN"/>
        </w:rPr>
        <w:t xml:space="preserve"> </w:t>
      </w:r>
      <w:r>
        <w:rPr>
          <w:rFonts w:hint="default" w:ascii="Times New Roman" w:hAnsi="Times New Roman" w:eastAsia="仿宋" w:cs="Times New Roman"/>
          <w:color w:val="auto"/>
          <w:spacing w:val="-56"/>
          <w:lang w:eastAsia="zh-CN"/>
        </w:rPr>
        <w:t xml:space="preserve"> </w:t>
      </w:r>
      <w:r>
        <w:rPr>
          <w:rFonts w:hint="default" w:ascii="Times New Roman" w:hAnsi="Times New Roman" w:eastAsia="仿宋" w:cs="Times New Roman"/>
          <w:color w:val="auto"/>
          <w:spacing w:val="-4"/>
          <w:lang w:eastAsia="zh-CN"/>
        </w:rPr>
        <w:t>5.3-3</w:t>
      </w:r>
      <w:r>
        <w:rPr>
          <w:rFonts w:hint="default" w:ascii="Times New Roman" w:hAnsi="Times New Roman" w:eastAsia="仿宋" w:cs="Times New Roman"/>
          <w:color w:val="auto"/>
          <w:spacing w:val="-3"/>
          <w:lang w:eastAsia="zh-CN"/>
        </w:rPr>
        <w:t>。</w:t>
      </w:r>
    </w:p>
    <w:p w14:paraId="38DEDB68">
      <w:pPr>
        <w:kinsoku/>
        <w:overflowPunct w:val="0"/>
        <w:topLinePunct/>
        <w:autoSpaceDE/>
        <w:autoSpaceDN/>
        <w:spacing w:line="330" w:lineRule="auto"/>
        <w:rPr>
          <w:rFonts w:hint="default" w:ascii="Times New Roman" w:hAnsi="Times New Roman" w:eastAsia="仿宋" w:cs="Times New Roman"/>
          <w:color w:val="0000FF"/>
          <w:sz w:val="28"/>
          <w:szCs w:val="28"/>
          <w:lang w:eastAsia="zh-CN"/>
        </w:rPr>
        <w:sectPr>
          <w:footerReference r:id="rId14" w:type="default"/>
          <w:pgSz w:w="11905" w:h="16838"/>
          <w:pgMar w:top="1440" w:right="1803" w:bottom="1440" w:left="1803" w:header="833" w:footer="1123" w:gutter="0"/>
          <w:cols w:space="0" w:num="1"/>
        </w:sectPr>
      </w:pPr>
    </w:p>
    <w:p w14:paraId="33287CF3">
      <w:pPr>
        <w:kinsoku/>
        <w:overflowPunct w:val="0"/>
        <w:topLinePunct/>
        <w:autoSpaceDE/>
        <w:autoSpaceDN/>
        <w:adjustRightInd/>
        <w:snapToGrid/>
        <w:spacing w:before="120" w:beforeLines="50" w:line="360" w:lineRule="auto"/>
        <w:jc w:val="both"/>
        <w:textAlignment w:val="auto"/>
        <w:outlineLvl w:val="1"/>
        <w:rPr>
          <w:rFonts w:hint="default" w:ascii="Times New Roman" w:hAnsi="Times New Roman" w:eastAsia="仿宋" w:cs="Times New Roman"/>
          <w:b/>
          <w:bCs/>
          <w:snapToGrid/>
          <w:kern w:val="2"/>
          <w:sz w:val="30"/>
          <w:szCs w:val="30"/>
          <w:lang w:eastAsia="zh-CN"/>
        </w:rPr>
      </w:pPr>
      <w:bookmarkStart w:id="138" w:name="bookmark62"/>
      <w:bookmarkEnd w:id="138"/>
      <w:bookmarkStart w:id="139" w:name="_Toc20220"/>
      <w:bookmarkStart w:id="140" w:name="_Toc10826"/>
      <w:r>
        <w:rPr>
          <w:rFonts w:hint="default" w:ascii="Times New Roman" w:hAnsi="Times New Roman" w:eastAsia="仿宋" w:cs="Times New Roman"/>
          <w:b/>
          <w:bCs/>
          <w:snapToGrid/>
          <w:kern w:val="2"/>
          <w:sz w:val="30"/>
          <w:szCs w:val="30"/>
          <w:lang w:eastAsia="zh-CN"/>
        </w:rPr>
        <w:t>5.4 人体健康风险表征</w:t>
      </w:r>
      <w:bookmarkEnd w:id="139"/>
      <w:bookmarkEnd w:id="140"/>
    </w:p>
    <w:p w14:paraId="334E52AB">
      <w:pPr>
        <w:kinsoku/>
        <w:overflowPunct w:val="0"/>
        <w:topLinePunct/>
        <w:autoSpaceDE/>
        <w:autoSpaceDN/>
        <w:spacing w:before="91" w:line="330" w:lineRule="auto"/>
        <w:ind w:left="43" w:right="75" w:firstLine="552"/>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pacing w:val="-7"/>
          <w:sz w:val="28"/>
          <w:szCs w:val="28"/>
          <w:lang w:eastAsia="zh-CN"/>
        </w:rPr>
        <w:t>根据建立的暴露概念模型、模型参数、污染物理化毒性参</w:t>
      </w:r>
      <w:r>
        <w:rPr>
          <w:rFonts w:hint="default" w:ascii="Times New Roman" w:hAnsi="Times New Roman" w:eastAsia="仿宋" w:cs="Times New Roman"/>
          <w:color w:val="auto"/>
          <w:spacing w:val="-8"/>
          <w:sz w:val="28"/>
          <w:szCs w:val="28"/>
          <w:lang w:eastAsia="zh-CN"/>
        </w:rPr>
        <w:t>数等，针对筛</w:t>
      </w:r>
      <w:r>
        <w:rPr>
          <w:rFonts w:hint="default" w:ascii="Times New Roman" w:hAnsi="Times New Roman" w:eastAsia="仿宋" w:cs="Times New Roman"/>
          <w:color w:val="auto"/>
          <w:spacing w:val="2"/>
          <w:sz w:val="28"/>
          <w:szCs w:val="28"/>
          <w:lang w:eastAsia="zh-CN"/>
        </w:rPr>
        <w:t>选出的关注污染物，根据规划用途，分别计算最大检出含</w:t>
      </w:r>
      <w:r>
        <w:rPr>
          <w:rFonts w:hint="default" w:ascii="Times New Roman" w:hAnsi="Times New Roman" w:eastAsia="仿宋" w:cs="Times New Roman"/>
          <w:color w:val="auto"/>
          <w:spacing w:val="1"/>
          <w:sz w:val="28"/>
          <w:szCs w:val="28"/>
          <w:lang w:eastAsia="zh-CN"/>
        </w:rPr>
        <w:t>量对人体健康产</w:t>
      </w:r>
      <w:r>
        <w:rPr>
          <w:rFonts w:hint="default" w:ascii="Times New Roman" w:hAnsi="Times New Roman" w:eastAsia="仿宋" w:cs="Times New Roman"/>
          <w:color w:val="auto"/>
          <w:spacing w:val="-3"/>
          <w:sz w:val="28"/>
          <w:szCs w:val="28"/>
          <w:lang w:eastAsia="zh-CN"/>
        </w:rPr>
        <w:t>生的致癌风险和非致癌危害商。</w:t>
      </w:r>
    </w:p>
    <w:p w14:paraId="5EC6332D">
      <w:pPr>
        <w:kinsoku/>
        <w:overflowPunct w:val="0"/>
        <w:topLinePunct/>
        <w:autoSpaceDE/>
        <w:autoSpaceDN/>
        <w:spacing w:before="1" w:line="324" w:lineRule="auto"/>
        <w:ind w:left="41" w:firstLine="553"/>
        <w:jc w:val="both"/>
        <w:rPr>
          <w:rFonts w:hint="default" w:ascii="Times New Roman" w:hAnsi="Times New Roman" w:eastAsia="仿宋" w:cs="Times New Roman"/>
          <w:color w:val="auto"/>
          <w:spacing w:val="-5"/>
          <w:sz w:val="28"/>
          <w:szCs w:val="28"/>
          <w:lang w:eastAsia="zh-CN"/>
        </w:rPr>
      </w:pPr>
      <w:r>
        <w:rPr>
          <w:rFonts w:hint="default" w:ascii="Times New Roman" w:hAnsi="Times New Roman" w:eastAsia="仿宋" w:cs="Times New Roman"/>
          <w:color w:val="auto"/>
          <w:spacing w:val="-2"/>
          <w:sz w:val="28"/>
          <w:szCs w:val="28"/>
          <w:lang w:eastAsia="zh-CN"/>
        </w:rPr>
        <w:t>根据《建设用地土壤污染风险评估技术导则》（HJ 25.3-2019</w:t>
      </w:r>
      <w:r>
        <w:rPr>
          <w:rFonts w:hint="default" w:ascii="Times New Roman" w:hAnsi="Times New Roman" w:eastAsia="仿宋" w:cs="Times New Roman"/>
          <w:color w:val="auto"/>
          <w:spacing w:val="-30"/>
          <w:sz w:val="28"/>
          <w:szCs w:val="28"/>
          <w:lang w:eastAsia="zh-CN"/>
        </w:rPr>
        <w:t xml:space="preserve"> </w:t>
      </w:r>
      <w:r>
        <w:rPr>
          <w:rFonts w:hint="default" w:ascii="Times New Roman" w:hAnsi="Times New Roman" w:eastAsia="仿宋" w:cs="Times New Roman"/>
          <w:color w:val="auto"/>
          <w:spacing w:val="-2"/>
          <w:sz w:val="28"/>
          <w:szCs w:val="28"/>
          <w:lang w:eastAsia="zh-CN"/>
        </w:rPr>
        <w:t>）规定，</w:t>
      </w:r>
      <w:r>
        <w:rPr>
          <w:rFonts w:hint="default" w:ascii="Times New Roman" w:hAnsi="Times New Roman" w:eastAsia="仿宋" w:cs="Times New Roman"/>
          <w:color w:val="auto"/>
          <w:spacing w:val="-1"/>
          <w:sz w:val="28"/>
          <w:szCs w:val="28"/>
          <w:lang w:eastAsia="zh-CN"/>
        </w:rPr>
        <w:t>计算得到单一污染物的致癌风险超过10</w:t>
      </w:r>
      <w:r>
        <w:rPr>
          <w:rFonts w:hint="default" w:ascii="Times New Roman" w:hAnsi="Times New Roman" w:eastAsia="仿宋" w:cs="Times New Roman"/>
          <w:color w:val="auto"/>
          <w:spacing w:val="-1"/>
          <w:sz w:val="28"/>
          <w:szCs w:val="28"/>
          <w:vertAlign w:val="superscript"/>
          <w:lang w:eastAsia="zh-CN"/>
        </w:rPr>
        <w:t>-6</w:t>
      </w:r>
      <w:r>
        <w:rPr>
          <w:rFonts w:hint="default" w:ascii="Times New Roman" w:hAnsi="Times New Roman" w:eastAsia="仿宋" w:cs="Times New Roman"/>
          <w:color w:val="auto"/>
          <w:spacing w:val="-1"/>
          <w:position w:val="9"/>
          <w:sz w:val="28"/>
          <w:szCs w:val="28"/>
          <w:lang w:eastAsia="zh-CN"/>
        </w:rPr>
        <w:t xml:space="preserve"> </w:t>
      </w:r>
      <w:r>
        <w:rPr>
          <w:rFonts w:hint="default" w:ascii="Times New Roman" w:hAnsi="Times New Roman" w:eastAsia="仿宋" w:cs="Times New Roman"/>
          <w:color w:val="auto"/>
          <w:spacing w:val="-1"/>
          <w:sz w:val="28"/>
          <w:szCs w:val="28"/>
          <w:lang w:eastAsia="zh-CN"/>
        </w:rPr>
        <w:t>或者危害商超</w:t>
      </w:r>
      <w:r>
        <w:rPr>
          <w:rFonts w:hint="default" w:ascii="Times New Roman" w:hAnsi="Times New Roman" w:eastAsia="仿宋" w:cs="Times New Roman"/>
          <w:color w:val="auto"/>
          <w:spacing w:val="-2"/>
          <w:sz w:val="28"/>
          <w:szCs w:val="28"/>
          <w:lang w:eastAsia="zh-CN"/>
        </w:rPr>
        <w:t>过 1，该污染物的</w:t>
      </w:r>
      <w:r>
        <w:rPr>
          <w:rFonts w:hint="default" w:ascii="Times New Roman" w:hAnsi="Times New Roman" w:eastAsia="仿宋" w:cs="Times New Roman"/>
          <w:color w:val="auto"/>
          <w:spacing w:val="-5"/>
          <w:sz w:val="28"/>
          <w:szCs w:val="28"/>
          <w:lang w:eastAsia="zh-CN"/>
        </w:rPr>
        <w:t>人体健康风险不可接受。</w:t>
      </w:r>
    </w:p>
    <w:p w14:paraId="74A62301">
      <w:pPr>
        <w:kinsoku/>
        <w:overflowPunct w:val="0"/>
        <w:topLinePunct/>
        <w:autoSpaceDE/>
        <w:autoSpaceDN/>
        <w:spacing w:before="91" w:line="330" w:lineRule="auto"/>
        <w:ind w:left="43" w:right="75" w:firstLine="552"/>
        <w:jc w:val="both"/>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风险表征的计算公式如下所示：</w:t>
      </w:r>
    </w:p>
    <w:p w14:paraId="2499DF84">
      <w:pPr>
        <w:kinsoku/>
        <w:overflowPunct w:val="0"/>
        <w:topLinePunct/>
        <w:autoSpaceDE/>
        <w:autoSpaceDN/>
        <w:spacing w:before="91" w:line="330" w:lineRule="auto"/>
        <w:ind w:left="43" w:right="75" w:firstLine="552"/>
        <w:jc w:val="both"/>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1）经口摄入土壤单一污染物、皮肤接触土壤单一污染物、吸入受污染空气土壤颗粒物、吸入室外空气、吸入室内空气中单一污染物的致癌风险，分别采用以下公式得到：</w:t>
      </w:r>
    </w:p>
    <w:p w14:paraId="3E20920F">
      <w:pPr>
        <w:kinsoku/>
        <w:overflowPunct w:val="0"/>
        <w:topLinePunct/>
        <w:autoSpaceDE/>
        <w:autoSpaceDN/>
        <w:spacing w:before="91" w:line="330" w:lineRule="auto"/>
        <w:ind w:left="43" w:right="75" w:firstLine="552"/>
        <w:jc w:val="both"/>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color w:val="auto"/>
          <w:spacing w:val="2"/>
          <w:sz w:val="28"/>
          <w:szCs w:val="28"/>
          <w:lang w:eastAsia="zh-CN"/>
        </w:rPr>
        <w:drawing>
          <wp:inline distT="0" distB="0" distL="0" distR="0">
            <wp:extent cx="1743075" cy="2286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743075" cy="228600"/>
                    </a:xfrm>
                    <a:prstGeom prst="rect">
                      <a:avLst/>
                    </a:prstGeom>
                    <a:noFill/>
                    <a:ln>
                      <a:noFill/>
                    </a:ln>
                  </pic:spPr>
                </pic:pic>
              </a:graphicData>
            </a:graphic>
          </wp:inline>
        </w:drawing>
      </w:r>
    </w:p>
    <w:p w14:paraId="029031C1">
      <w:pPr>
        <w:kinsoku/>
        <w:overflowPunct w:val="0"/>
        <w:topLinePunct/>
        <w:autoSpaceDE/>
        <w:autoSpaceDN/>
        <w:spacing w:before="91" w:line="330" w:lineRule="auto"/>
        <w:ind w:left="43" w:right="75" w:firstLine="552"/>
        <w:jc w:val="both"/>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color w:val="auto"/>
          <w:spacing w:val="2"/>
          <w:sz w:val="28"/>
          <w:szCs w:val="28"/>
          <w:lang w:eastAsia="zh-CN"/>
        </w:rPr>
        <w:drawing>
          <wp:inline distT="0" distB="0" distL="0" distR="0">
            <wp:extent cx="1838325" cy="228600"/>
            <wp:effectExtent l="0" t="0" r="5715"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838325" cy="228600"/>
                    </a:xfrm>
                    <a:prstGeom prst="rect">
                      <a:avLst/>
                    </a:prstGeom>
                    <a:noFill/>
                    <a:ln>
                      <a:noFill/>
                    </a:ln>
                  </pic:spPr>
                </pic:pic>
              </a:graphicData>
            </a:graphic>
          </wp:inline>
        </w:drawing>
      </w:r>
    </w:p>
    <w:p w14:paraId="70D16698">
      <w:pPr>
        <w:kinsoku/>
        <w:overflowPunct w:val="0"/>
        <w:topLinePunct/>
        <w:autoSpaceDE/>
        <w:autoSpaceDN/>
        <w:spacing w:before="91" w:line="330" w:lineRule="auto"/>
        <w:ind w:left="43" w:right="75" w:firstLine="552"/>
        <w:jc w:val="both"/>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color w:val="auto"/>
          <w:spacing w:val="2"/>
          <w:sz w:val="28"/>
          <w:szCs w:val="28"/>
          <w:lang w:eastAsia="zh-CN"/>
        </w:rPr>
        <w:drawing>
          <wp:inline distT="0" distB="0" distL="0" distR="0">
            <wp:extent cx="1695450" cy="228600"/>
            <wp:effectExtent l="0" t="0" r="1143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695450" cy="228600"/>
                    </a:xfrm>
                    <a:prstGeom prst="rect">
                      <a:avLst/>
                    </a:prstGeom>
                    <a:noFill/>
                    <a:ln>
                      <a:noFill/>
                    </a:ln>
                  </pic:spPr>
                </pic:pic>
              </a:graphicData>
            </a:graphic>
          </wp:inline>
        </w:drawing>
      </w:r>
    </w:p>
    <w:p w14:paraId="2C59B8E1">
      <w:pPr>
        <w:kinsoku/>
        <w:overflowPunct w:val="0"/>
        <w:topLinePunct/>
        <w:autoSpaceDE/>
        <w:autoSpaceDN/>
        <w:spacing w:before="91" w:line="330" w:lineRule="auto"/>
        <w:ind w:left="43" w:right="75" w:firstLine="552"/>
        <w:jc w:val="both"/>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以上公式用参数统称表示为：致癌风险=暴露量×暴露浓度×致癌斜率因子。</w:t>
      </w:r>
    </w:p>
    <w:p w14:paraId="09164A43">
      <w:pPr>
        <w:kinsoku/>
        <w:overflowPunct w:val="0"/>
        <w:topLinePunct/>
        <w:autoSpaceDE/>
        <w:autoSpaceDN/>
        <w:spacing w:before="91" w:line="330" w:lineRule="auto"/>
        <w:ind w:left="43" w:right="75" w:firstLine="552"/>
        <w:jc w:val="both"/>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2）经口摄入土壤单一污染物、皮肤接触土壤单一污染物、吸入受污染空气土壤颗粒物、吸入室外空气、吸入室内空气中单一污染物危害商，分别采用以下公式得到：</w:t>
      </w:r>
    </w:p>
    <w:p w14:paraId="372B9A7F">
      <w:pPr>
        <w:kinsoku/>
        <w:overflowPunct w:val="0"/>
        <w:topLinePunct/>
        <w:autoSpaceDE/>
        <w:autoSpaceDN/>
        <w:spacing w:before="91" w:line="330" w:lineRule="auto"/>
        <w:ind w:left="43" w:right="75" w:firstLine="552"/>
        <w:jc w:val="both"/>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color w:val="auto"/>
          <w:spacing w:val="2"/>
          <w:sz w:val="28"/>
          <w:szCs w:val="28"/>
        </w:rPr>
        <w:object>
          <v:shape id="_x0000_i1039" o:spt="75" type="#_x0000_t75" style="height:33.75pt;width:113.25pt;" o:ole="t" filled="f" o:preferrelative="t" stroked="f" coordsize="21600,21600">
            <v:path/>
            <v:fill on="f" focussize="0,0"/>
            <v:stroke on="f" joinstyle="miter"/>
            <v:imagedata r:id="rId23" o:title=""/>
            <o:lock v:ext="edit" aspectratio="t"/>
            <w10:wrap type="none"/>
            <w10:anchorlock/>
          </v:shape>
          <o:OLEObject Type="Embed" ProgID="Equation.3" ShapeID="_x0000_i1039" DrawAspect="Content" ObjectID="_1468075725" r:id="rId22">
            <o:LockedField>false</o:LockedField>
          </o:OLEObject>
        </w:object>
      </w:r>
    </w:p>
    <w:p w14:paraId="1ED2CFC8">
      <w:pPr>
        <w:kinsoku/>
        <w:overflowPunct w:val="0"/>
        <w:topLinePunct/>
        <w:autoSpaceDE/>
        <w:autoSpaceDN/>
        <w:spacing w:before="91" w:line="330" w:lineRule="auto"/>
        <w:ind w:left="43" w:right="75" w:firstLine="552"/>
        <w:jc w:val="both"/>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color w:val="auto"/>
          <w:spacing w:val="2"/>
          <w:sz w:val="28"/>
          <w:szCs w:val="28"/>
        </w:rPr>
        <w:object>
          <v:shape id="_x0000_i1040" o:spt="75" type="#_x0000_t75" style="height:34.5pt;width:121.5pt;" o:ole="t" filled="f" o:preferrelative="t" stroked="f" coordsize="21600,21600">
            <v:path/>
            <v:fill on="f" focussize="0,0"/>
            <v:stroke on="f" joinstyle="miter"/>
            <v:imagedata r:id="rId25" o:title=""/>
            <o:lock v:ext="edit" aspectratio="t"/>
            <w10:wrap type="none"/>
            <w10:anchorlock/>
          </v:shape>
          <o:OLEObject Type="Embed" ProgID="Equation.3" ShapeID="_x0000_i1040" DrawAspect="Content" ObjectID="_1468075726" r:id="rId24">
            <o:LockedField>false</o:LockedField>
          </o:OLEObject>
        </w:object>
      </w:r>
    </w:p>
    <w:p w14:paraId="1879F6BD">
      <w:pPr>
        <w:kinsoku/>
        <w:overflowPunct w:val="0"/>
        <w:topLinePunct/>
        <w:autoSpaceDE/>
        <w:autoSpaceDN/>
        <w:spacing w:before="91" w:line="330" w:lineRule="auto"/>
        <w:ind w:left="43" w:right="75" w:firstLine="552"/>
        <w:jc w:val="both"/>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color w:val="auto"/>
          <w:spacing w:val="2"/>
          <w:sz w:val="28"/>
          <w:szCs w:val="28"/>
        </w:rPr>
        <w:object>
          <v:shape id="_x0000_i1041" o:spt="75" type="#_x0000_t75" style="height:34.5pt;width:114pt;" o:ole="t" filled="f" o:preferrelative="t" stroked="f" coordsize="21600,21600">
            <v:path/>
            <v:fill on="f" focussize="0,0"/>
            <v:stroke on="f" joinstyle="miter"/>
            <v:imagedata r:id="rId27" o:title=""/>
            <o:lock v:ext="edit" aspectratio="t"/>
            <w10:wrap type="none"/>
            <w10:anchorlock/>
          </v:shape>
          <o:OLEObject Type="Embed" ProgID="Equation.3" ShapeID="_x0000_i1041" DrawAspect="Content" ObjectID="_1468075727" r:id="rId26">
            <o:LockedField>false</o:LockedField>
          </o:OLEObject>
        </w:object>
      </w:r>
    </w:p>
    <w:p w14:paraId="19FB644A">
      <w:pPr>
        <w:kinsoku/>
        <w:overflowPunct w:val="0"/>
        <w:topLinePunct/>
        <w:autoSpaceDE/>
        <w:autoSpaceDN/>
        <w:spacing w:before="91" w:line="330" w:lineRule="auto"/>
        <w:ind w:left="43" w:right="75" w:firstLine="552"/>
        <w:jc w:val="both"/>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以上公式用参数统称表示为：危害商=暴露量×暴露浓度/参考剂量。</w:t>
      </w:r>
    </w:p>
    <w:p w14:paraId="5C432420">
      <w:pPr>
        <w:pStyle w:val="8"/>
        <w:kinsoku/>
        <w:overflowPunct w:val="0"/>
        <w:topLinePunct/>
        <w:autoSpaceDE/>
        <w:autoSpaceDN/>
        <w:spacing w:before="121" w:line="360" w:lineRule="auto"/>
        <w:ind w:left="34"/>
        <w:outlineLvl w:val="2"/>
        <w:rPr>
          <w:rFonts w:hint="default" w:ascii="Times New Roman" w:hAnsi="Times New Roman" w:eastAsia="仿宋" w:cs="Times New Roman"/>
          <w:b/>
          <w:bCs/>
          <w:snapToGrid/>
          <w:kern w:val="2"/>
          <w:szCs w:val="32"/>
          <w:lang w:eastAsia="zh-CN"/>
        </w:rPr>
      </w:pPr>
      <w:bookmarkStart w:id="141" w:name="bookmark63"/>
      <w:bookmarkEnd w:id="141"/>
      <w:bookmarkStart w:id="142" w:name="_Toc3419"/>
      <w:bookmarkStart w:id="143" w:name="_Toc24221"/>
      <w:bookmarkStart w:id="144" w:name="_Toc8645"/>
      <w:bookmarkStart w:id="145" w:name="_Toc31902"/>
      <w:r>
        <w:rPr>
          <w:rFonts w:hint="default" w:ascii="Times New Roman" w:hAnsi="Times New Roman" w:eastAsia="仿宋" w:cs="Times New Roman"/>
          <w:b/>
          <w:bCs/>
          <w:snapToGrid/>
          <w:kern w:val="2"/>
          <w:szCs w:val="32"/>
          <w:lang w:eastAsia="zh-CN"/>
        </w:rPr>
        <w:t>5.4.1 风险计算</w:t>
      </w:r>
      <w:bookmarkEnd w:id="142"/>
      <w:bookmarkEnd w:id="143"/>
      <w:bookmarkEnd w:id="144"/>
      <w:bookmarkEnd w:id="145"/>
    </w:p>
    <w:p w14:paraId="16CDD723">
      <w:pPr>
        <w:pStyle w:val="8"/>
        <w:kinsoku/>
        <w:overflowPunct w:val="0"/>
        <w:topLinePunct/>
        <w:autoSpaceDE/>
        <w:autoSpaceDN/>
        <w:spacing w:before="120" w:beforeLines="50" w:line="360" w:lineRule="auto"/>
        <w:ind w:left="40"/>
        <w:rPr>
          <w:rFonts w:hint="default" w:ascii="Times New Roman" w:hAnsi="Times New Roman" w:eastAsia="仿宋" w:cs="Times New Roman"/>
          <w:b/>
          <w:bCs/>
          <w:color w:val="auto"/>
          <w:spacing w:val="-2"/>
          <w:lang w:eastAsia="zh-CN"/>
        </w:rPr>
      </w:pPr>
      <w:r>
        <w:rPr>
          <w:rFonts w:hint="default" w:ascii="Times New Roman" w:hAnsi="Times New Roman" w:eastAsia="仿宋" w:cs="Times New Roman"/>
          <w:b/>
          <w:bCs/>
          <w:color w:val="auto"/>
          <w:spacing w:val="-2"/>
          <w:lang w:eastAsia="zh-CN"/>
        </w:rPr>
        <w:t>5.4.1.1 土壤污染物风险计算</w:t>
      </w:r>
    </w:p>
    <w:p w14:paraId="71C328B0">
      <w:pPr>
        <w:kinsoku/>
        <w:overflowPunct w:val="0"/>
        <w:topLinePunct/>
        <w:autoSpaceDE/>
        <w:autoSpaceDN/>
        <w:spacing w:before="279" w:line="334" w:lineRule="auto"/>
        <w:ind w:left="39" w:right="75" w:firstLine="564"/>
        <w:jc w:val="both"/>
        <w:rPr>
          <w:rFonts w:hint="default" w:ascii="Times New Roman" w:hAnsi="Times New Roman" w:eastAsia="仿宋" w:cs="Times New Roman"/>
          <w:lang w:eastAsia="zh-CN"/>
        </w:rPr>
      </w:pPr>
      <w:r>
        <w:rPr>
          <w:rFonts w:hint="default" w:ascii="Times New Roman" w:hAnsi="Times New Roman" w:eastAsia="仿宋" w:cs="Times New Roman"/>
          <w:color w:val="auto"/>
          <w:spacing w:val="2"/>
          <w:sz w:val="28"/>
          <w:szCs w:val="28"/>
          <w:lang w:eastAsia="zh-CN"/>
        </w:rPr>
        <w:t>对于单一污染物，计算经口摄入土壤、皮肤</w:t>
      </w:r>
      <w:r>
        <w:rPr>
          <w:rFonts w:hint="default" w:ascii="Times New Roman" w:hAnsi="Times New Roman" w:eastAsia="仿宋" w:cs="Times New Roman"/>
          <w:color w:val="auto"/>
          <w:spacing w:val="1"/>
          <w:sz w:val="28"/>
          <w:szCs w:val="28"/>
          <w:lang w:eastAsia="zh-CN"/>
        </w:rPr>
        <w:t>接触土壤、吸入土壤颗粒</w:t>
      </w:r>
      <w:r>
        <w:rPr>
          <w:rFonts w:hint="default" w:ascii="Times New Roman" w:hAnsi="Times New Roman" w:eastAsia="仿宋" w:cs="Times New Roman"/>
          <w:color w:val="auto"/>
          <w:spacing w:val="2"/>
          <w:sz w:val="28"/>
          <w:szCs w:val="28"/>
          <w:lang w:eastAsia="zh-CN"/>
        </w:rPr>
        <w:t>物</w:t>
      </w:r>
      <w:r>
        <w:rPr>
          <w:rFonts w:hint="default" w:ascii="Times New Roman" w:hAnsi="Times New Roman" w:eastAsia="仿宋" w:cs="Times New Roman"/>
          <w:color w:val="auto"/>
          <w:spacing w:val="1"/>
          <w:sz w:val="28"/>
          <w:szCs w:val="28"/>
          <w:lang w:eastAsia="zh-CN"/>
        </w:rPr>
        <w:t>暴露途</w:t>
      </w:r>
      <w:r>
        <w:rPr>
          <w:rFonts w:hint="default" w:ascii="Times New Roman" w:hAnsi="Times New Roman" w:eastAsia="仿宋" w:cs="Times New Roman"/>
          <w:color w:val="auto"/>
          <w:spacing w:val="-2"/>
          <w:sz w:val="28"/>
          <w:szCs w:val="28"/>
          <w:lang w:eastAsia="zh-CN"/>
        </w:rPr>
        <w:t>径致癌风险和危害商。</w:t>
      </w:r>
    </w:p>
    <w:p w14:paraId="66FCD302">
      <w:pPr>
        <w:pStyle w:val="8"/>
        <w:kinsoku/>
        <w:overflowPunct w:val="0"/>
        <w:topLinePunct/>
        <w:autoSpaceDE/>
        <w:autoSpaceDN/>
        <w:spacing w:before="120" w:beforeLines="50" w:line="360" w:lineRule="auto"/>
        <w:ind w:left="40"/>
        <w:rPr>
          <w:rFonts w:hint="default" w:ascii="Times New Roman" w:hAnsi="Times New Roman" w:eastAsia="仿宋" w:cs="Times New Roman"/>
          <w:b/>
          <w:bCs/>
          <w:color w:val="auto"/>
          <w:spacing w:val="-2"/>
          <w:lang w:eastAsia="zh-CN"/>
        </w:rPr>
      </w:pPr>
      <w:r>
        <w:rPr>
          <w:rFonts w:hint="default" w:ascii="Times New Roman" w:hAnsi="Times New Roman" w:eastAsia="仿宋" w:cs="Times New Roman"/>
          <w:b/>
          <w:bCs/>
          <w:color w:val="auto"/>
          <w:spacing w:val="-2"/>
          <w:lang w:eastAsia="zh-CN"/>
        </w:rPr>
        <w:t>5.4.1.2 地下水污染物风险计算</w:t>
      </w:r>
    </w:p>
    <w:p w14:paraId="0C37E34C">
      <w:pPr>
        <w:kinsoku/>
        <w:overflowPunct w:val="0"/>
        <w:topLinePunct/>
        <w:autoSpaceDE/>
        <w:autoSpaceDN/>
        <w:spacing w:line="360" w:lineRule="auto"/>
        <w:ind w:left="34" w:right="79" w:firstLine="567"/>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pacing w:val="2"/>
          <w:sz w:val="28"/>
          <w:szCs w:val="28"/>
          <w:lang w:eastAsia="zh-CN"/>
        </w:rPr>
        <w:t>单一污染物，计算吸入室外空气中来自地下水的气</w:t>
      </w:r>
      <w:r>
        <w:rPr>
          <w:rFonts w:hint="default" w:ascii="Times New Roman" w:hAnsi="Times New Roman" w:eastAsia="仿宋" w:cs="Times New Roman"/>
          <w:color w:val="auto"/>
          <w:spacing w:val="1"/>
          <w:sz w:val="28"/>
          <w:szCs w:val="28"/>
          <w:lang w:eastAsia="zh-CN"/>
        </w:rPr>
        <w:t>态污染物和室内空</w:t>
      </w:r>
      <w:r>
        <w:rPr>
          <w:rFonts w:hint="default" w:ascii="Times New Roman" w:hAnsi="Times New Roman" w:eastAsia="仿宋" w:cs="Times New Roman"/>
          <w:color w:val="auto"/>
          <w:spacing w:val="2"/>
          <w:sz w:val="28"/>
          <w:szCs w:val="28"/>
          <w:lang w:eastAsia="zh-CN"/>
        </w:rPr>
        <w:t>气中来自地下水的气态污染物的致癌风险和危害商</w:t>
      </w:r>
      <w:r>
        <w:rPr>
          <w:rFonts w:hint="default" w:ascii="Times New Roman" w:hAnsi="Times New Roman" w:eastAsia="仿宋" w:cs="Times New Roman"/>
          <w:color w:val="auto"/>
          <w:spacing w:val="-4"/>
          <w:sz w:val="28"/>
          <w:szCs w:val="28"/>
          <w:lang w:eastAsia="zh-CN"/>
        </w:rPr>
        <w:t>。</w:t>
      </w:r>
    </w:p>
    <w:p w14:paraId="71441653">
      <w:pPr>
        <w:pStyle w:val="27"/>
        <w:ind w:left="0" w:leftChars="0" w:firstLine="0" w:firstLineChars="0"/>
        <w:rPr>
          <w:rFonts w:hint="default"/>
          <w:lang w:val="en-US" w:eastAsia="zh-CN"/>
        </w:rPr>
      </w:pPr>
      <w:bookmarkStart w:id="146" w:name="bookmark64"/>
      <w:bookmarkEnd w:id="146"/>
      <w:bookmarkStart w:id="147" w:name="bookmark65"/>
      <w:bookmarkEnd w:id="147"/>
      <w:bookmarkStart w:id="148" w:name="bookmark69"/>
      <w:bookmarkEnd w:id="148"/>
      <w:bookmarkStart w:id="149" w:name="bookmark80"/>
      <w:bookmarkEnd w:id="149"/>
      <w:bookmarkStart w:id="150" w:name="bookmark83"/>
      <w:bookmarkEnd w:id="150"/>
    </w:p>
    <w:sectPr>
      <w:headerReference r:id="rId15" w:type="default"/>
      <w:footerReference r:id="rId16" w:type="default"/>
      <w:pgSz w:w="11905" w:h="16838"/>
      <w:pgMar w:top="1440" w:right="1803" w:bottom="1440" w:left="1803" w:header="833" w:footer="1123"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254DB6-4DED-4616-9FBD-B6E7813AD0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9A7796C-7E0C-43F7-BE65-9338200BB036}"/>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7D614">
    <w:pPr>
      <w:pStyle w:val="14"/>
      <w:ind w:firstLine="360"/>
      <w:jc w:val="center"/>
    </w:pPr>
  </w:p>
  <w:p w14:paraId="7CAC8245">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C91C5">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B3AA">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25124">
    <w:pPr>
      <w:tabs>
        <w:tab w:val="left" w:pos="4700"/>
      </w:tabs>
      <w:spacing w:line="223" w:lineRule="auto"/>
      <w:rPr>
        <w:rFonts w:ascii="Times New Roman" w:hAnsi="Times New Roman" w:eastAsia="Times New Roman" w:cs="Times New Roman"/>
        <w:sz w:val="24"/>
        <w:szCs w:val="24"/>
      </w:rPr>
    </w:pPr>
    <w:r>
      <w:rPr>
        <w:sz w:val="24"/>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3" name="文本框 4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B0241">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ZJbUuAgAAWQ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5+e0W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yD0m2Vho7eW&#10;R+gonrfLQ4CAra5RlE6JXit0XFuZfjpiS/+5b6Me/wi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k2SW1LgIAAFkEAAAOAAAAAAAAAAEAIAAAAB8BAABkcnMvZTJvRG9jLnhtbFBLBQYAAAAA&#10;BgAGAFkBAAC/BQAAAAA=&#10;">
              <v:fill on="f" focussize="0,0"/>
              <v:stroke on="f" weight="0.5pt"/>
              <v:imagedata o:title=""/>
              <o:lock v:ext="edit" aspectratio="f"/>
              <v:textbox inset="0mm,0mm,0mm,0mm" style="mso-fit-shape-to-text:t;">
                <w:txbxContent>
                  <w:p w14:paraId="662B0241">
                    <w:pPr>
                      <w:pStyle w:val="14"/>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ascii="Times New Roman" w:hAnsi="Times New Roman" w:eastAsia="宋体" w:cs="Times New Roman"/>
        <w:sz w:val="24"/>
        <w:szCs w:val="24"/>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252F4">
    <w:pPr>
      <w:spacing w:line="223" w:lineRule="auto"/>
      <w:ind w:left="4389"/>
      <w:rPr>
        <w:rFonts w:ascii="Times New Roman" w:hAnsi="Times New Roman" w:eastAsia="Times New Roman" w:cs="Times New Roman"/>
        <w:sz w:val="24"/>
        <w:szCs w:val="24"/>
      </w:rPr>
    </w:pPr>
    <w:r>
      <w:rPr>
        <w:sz w:val="24"/>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4" name="文本框 5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0A13E">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UFdgIvAgAAW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6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hQV2Ai8CAABZBAAADgAAAAAAAAABACAAAAAfAQAAZHJzL2Uyb0RvYy54bWxQSwUGAAAA&#10;AAYABgBZAQAAwAUAAAAA&#10;">
              <v:fill on="f" focussize="0,0"/>
              <v:stroke on="f" weight="0.5pt"/>
              <v:imagedata o:title=""/>
              <o:lock v:ext="edit" aspectratio="f"/>
              <v:textbox inset="0mm,0mm,0mm,0mm" style="mso-fit-shape-to-text:t;">
                <w:txbxContent>
                  <w:p w14:paraId="0280A13E">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1B6B6">
    <w:pPr>
      <w:spacing w:line="226" w:lineRule="auto"/>
      <w:ind w:left="4389"/>
      <w:rPr>
        <w:rFonts w:ascii="Times New Roman" w:hAnsi="Times New Roman" w:eastAsia="Times New Roman" w:cs="Times New Roman"/>
        <w:sz w:val="24"/>
        <w:szCs w:val="24"/>
      </w:rPr>
    </w:pPr>
    <w:r>
      <w:rPr>
        <w:sz w:val="24"/>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4" name="文本框 5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55887">
                          <w:pPr>
                            <w:pStyle w:val="14"/>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Z0kuAgAAWQQAAA4AAABkcnMvZTJvRG9jLnhtbK1UzY7TMBC+I/EO&#10;lu80aaG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G0o0Uyj55fu3&#10;y49fl59fSTyERLX1c0TuLGJD89Y0aJzh3OMwMm8Kp+IXnAj8EPh8FVg0gfB4aTaZzVK4OHzDBvjJ&#10;43XrfHgnjCLRyKhDBVth2WnrQxc6hMRs2mwqKdsqSk3qjN68nqb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ESWdJLgIAAFkEAAAOAAAAAAAAAAEAIAAAAB8BAABkcnMvZTJvRG9jLnhtbFBLBQYAAAAA&#10;BgAGAFkBAAC/BQAAAAA=&#10;">
              <v:fill on="f" focussize="0,0"/>
              <v:stroke on="f" weight="0.5pt"/>
              <v:imagedata o:title=""/>
              <o:lock v:ext="edit" aspectratio="f"/>
              <v:textbox inset="0mm,0mm,0mm,0mm" style="mso-fit-shape-to-text:t;">
                <w:txbxContent>
                  <w:p w14:paraId="20A55887">
                    <w:pPr>
                      <w:pStyle w:val="14"/>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7E30A">
    <w:pPr>
      <w:spacing w:line="223" w:lineRule="auto"/>
      <w:ind w:left="4389"/>
      <w:rPr>
        <w:rFonts w:ascii="Times New Roman" w:hAnsi="Times New Roman" w:eastAsia="Times New Roman" w:cs="Times New Roman"/>
        <w:sz w:val="24"/>
        <w:szCs w:val="24"/>
      </w:rPr>
    </w:pPr>
    <w:r>
      <w:rPr>
        <w:sz w:val="24"/>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9" name="文本框 5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BDD4D">
                          <w:pPr>
                            <w:pStyle w:val="14"/>
                          </w:pPr>
                          <w:r>
                            <w:fldChar w:fldCharType="begin"/>
                          </w:r>
                          <w:r>
                            <w:instrText xml:space="preserve"> PAGE  \* MERGEFORMAT </w:instrText>
                          </w:r>
                          <w:r>
                            <w:fldChar w:fldCharType="separate"/>
                          </w:r>
                          <w:r>
                            <w:t>169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aej8uAgAAWQQAAA4AAABkcnMvZTJvRG9jLnhtbK1UzY7TMBC+I/EO&#10;lu80aVFXpW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G0o0Uyj55fu3&#10;y49fl59fSTyERLX1c0TuLGJD89Y0aJzh3OMwMm8Kp+IXnAj8EPh8FVg0gfB4aTaZzVK4OHzDBvjJ&#10;43XrfHgnjCLRyKhDBVth2WnrQxc6hMRs2mwqKdsqSk3qjN68nqb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gmno/LgIAAFkEAAAOAAAAAAAAAAEAIAAAAB8BAABkcnMvZTJvRG9jLnhtbFBLBQYAAAAA&#10;BgAGAFkBAAC/BQAAAAA=&#10;">
              <v:fill on="f" focussize="0,0"/>
              <v:stroke on="f" weight="0.5pt"/>
              <v:imagedata o:title=""/>
              <o:lock v:ext="edit" aspectratio="f"/>
              <v:textbox inset="0mm,0mm,0mm,0mm" style="mso-fit-shape-to-text:t;">
                <w:txbxContent>
                  <w:p w14:paraId="4C5BDD4D">
                    <w:pPr>
                      <w:pStyle w:val="14"/>
                    </w:pPr>
                    <w:r>
                      <w:fldChar w:fldCharType="begin"/>
                    </w:r>
                    <w:r>
                      <w:instrText xml:space="preserve"> PAGE  \* MERGEFORMAT </w:instrText>
                    </w:r>
                    <w:r>
                      <w:fldChar w:fldCharType="separate"/>
                    </w:r>
                    <w:r>
                      <w:t>169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95A9C">
    <w:pPr>
      <w:spacing w:line="220" w:lineRule="auto"/>
      <w:ind w:left="647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0" name="文本框 5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3C82D">
                          <w:pPr>
                            <w:pStyle w:val="14"/>
                          </w:pPr>
                          <w:r>
                            <w:fldChar w:fldCharType="begin"/>
                          </w:r>
                          <w:r>
                            <w:instrText xml:space="preserve"> PAGE  \* MERGEFORMAT </w:instrText>
                          </w:r>
                          <w:r>
                            <w:fldChar w:fldCharType="separate"/>
                          </w:r>
                          <w:r>
                            <w:t>221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hXAtAgAAWQ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phXAtAgAAWQQAAA4AAAAAAAAAAQAgAAAAHwEAAGRycy9lMm9Eb2MueG1sUEsFBgAAAAAG&#10;AAYAWQEAAL4FAAAAAA==&#10;">
              <v:fill on="f" focussize="0,0"/>
              <v:stroke on="f" weight="0.5pt"/>
              <v:imagedata o:title=""/>
              <o:lock v:ext="edit" aspectratio="f"/>
              <v:textbox inset="0mm,0mm,0mm,0mm" style="mso-fit-shape-to-text:t;">
                <w:txbxContent>
                  <w:p w14:paraId="4BF3C82D">
                    <w:pPr>
                      <w:pStyle w:val="14"/>
                    </w:pPr>
                    <w:r>
                      <w:fldChar w:fldCharType="begin"/>
                    </w:r>
                    <w:r>
                      <w:instrText xml:space="preserve"> PAGE  \* MERGEFORMAT </w:instrText>
                    </w:r>
                    <w:r>
                      <w:fldChar w:fldCharType="separate"/>
                    </w:r>
                    <w:r>
                      <w:t>221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F4A8">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DDBF">
    <w:pPr>
      <w:pStyle w:val="16"/>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42278">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B18EF">
    <w:pPr>
      <w:pStyle w:val="8"/>
      <w:pBdr>
        <w:bottom w:val="single" w:color="auto" w:sz="4" w:space="0"/>
      </w:pBdr>
      <w:spacing w:before="48" w:line="214" w:lineRule="auto"/>
      <w:jc w:val="center"/>
      <w:rPr>
        <w:rFonts w:ascii="Times New Roman" w:hAnsi="Times New Roman" w:cs="Times New Roman"/>
        <w:sz w:val="18"/>
        <w:szCs w:val="18"/>
        <w:lang w:eastAsia="zh-CN"/>
      </w:rPr>
    </w:pPr>
    <w:r>
      <w:rPr>
        <w:rFonts w:hint="eastAsia"/>
        <w:spacing w:val="-1"/>
        <w:sz w:val="18"/>
        <w:szCs w:val="18"/>
        <w:lang w:eastAsia="zh-CN"/>
      </w:rPr>
      <w:t>原苏州长青电镀厂</w:t>
    </w:r>
    <w:r>
      <w:rPr>
        <w:spacing w:val="-1"/>
        <w:sz w:val="18"/>
        <w:szCs w:val="18"/>
        <w:lang w:eastAsia="zh-CN"/>
      </w:rPr>
      <w:t>地块土壤污染风险评估报告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D9B55">
    <w:pPr>
      <w:pBdr>
        <w:bottom w:val="single" w:color="auto" w:sz="4" w:space="0"/>
      </w:pBdr>
      <w:spacing w:before="48" w:line="216" w:lineRule="auto"/>
      <w:jc w:val="center"/>
      <w:rPr>
        <w:rFonts w:ascii="仿宋" w:hAnsi="仿宋" w:eastAsia="仿宋" w:cs="仿宋"/>
        <w:sz w:val="18"/>
        <w:szCs w:val="18"/>
        <w:lang w:eastAsia="zh-CN"/>
      </w:rPr>
    </w:pPr>
    <w:r>
      <w:rPr>
        <w:rFonts w:hint="eastAsia" w:ascii="仿宋" w:hAnsi="仿宋" w:eastAsia="仿宋" w:cs="仿宋"/>
        <w:spacing w:val="-1"/>
        <w:sz w:val="18"/>
        <w:szCs w:val="18"/>
        <w:lang w:eastAsia="zh-CN"/>
      </w:rPr>
      <w:t>原苏州长青电镀厂</w:t>
    </w:r>
    <w:r>
      <w:rPr>
        <w:rFonts w:ascii="仿宋" w:hAnsi="仿宋" w:eastAsia="仿宋" w:cs="仿宋"/>
        <w:spacing w:val="-1"/>
        <w:sz w:val="18"/>
        <w:szCs w:val="18"/>
        <w:lang w:eastAsia="zh-CN"/>
      </w:rPr>
      <w:t>地块土壤污染风险评估报告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8EC3">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5B70AB"/>
    <w:multiLevelType w:val="multilevel"/>
    <w:tmpl w:val="F65B70AB"/>
    <w:lvl w:ilvl="0" w:tentative="0">
      <w:start w:val="1"/>
      <w:numFmt w:val="decimal"/>
      <w:suff w:val="space"/>
      <w:lvlText w:val="%1"/>
      <w:lvlJc w:val="left"/>
      <w:pPr>
        <w:ind w:left="425" w:hanging="425"/>
      </w:pPr>
      <w:rPr>
        <w:rFonts w:hint="default" w:ascii="Times New Roman" w:hAnsi="Times New Roman" w:eastAsia="宋体"/>
      </w:rPr>
    </w:lvl>
    <w:lvl w:ilvl="1" w:tentative="0">
      <w:start w:val="1"/>
      <w:numFmt w:val="decimal"/>
      <w:pStyle w:val="2"/>
      <w:suff w:val="space"/>
      <w:lvlText w:val="%1.%2"/>
      <w:lvlJc w:val="left"/>
      <w:pPr>
        <w:ind w:left="630" w:hanging="425"/>
      </w:pPr>
      <w:rPr>
        <w:rFonts w:hint="default" w:ascii="Times New Roman" w:hAnsi="Times New Roman" w:eastAsia="宋体"/>
      </w:rPr>
    </w:lvl>
    <w:lvl w:ilvl="2" w:tentative="0">
      <w:start w:val="1"/>
      <w:numFmt w:val="decimal"/>
      <w:suff w:val="space"/>
      <w:lvlText w:val="%1.%2.%3"/>
      <w:lvlJc w:val="left"/>
      <w:pPr>
        <w:ind w:left="0" w:firstLine="0"/>
      </w:pPr>
      <w:rPr>
        <w:rFonts w:hint="default" w:ascii="Times New Roman" w:hAnsi="Times New Roman" w:eastAsia="宋体"/>
      </w:rPr>
    </w:lvl>
    <w:lvl w:ilvl="3" w:tentative="0">
      <w:start w:val="1"/>
      <w:numFmt w:val="decimal"/>
      <w:suff w:val="space"/>
      <w:lvlText w:val="%1.%2.%3.%4"/>
      <w:lvlJc w:val="left"/>
      <w:pPr>
        <w:ind w:left="0" w:firstLine="0"/>
      </w:pPr>
      <w:rPr>
        <w:rFonts w:hint="default" w:ascii="Times New Roman" w:hAnsi="Times New Roman" w:cs="Times New Roman"/>
        <w:b/>
        <w:bCs w:val="0"/>
        <w:i w:val="0"/>
        <w:iCs w:val="0"/>
        <w:caps w:val="0"/>
        <w:smallCaps w:val="0"/>
        <w:strike w:val="0"/>
        <w:dstrike w:val="0"/>
        <w:snapToGrid w:val="0"/>
        <w:vanish w:val="0"/>
        <w:color w:val="000000"/>
        <w:spacing w:val="0"/>
        <w:w w:val="0"/>
        <w:kern w:val="0"/>
        <w:position w:val="0"/>
        <w:sz w:val="24"/>
        <w:szCs w:val="24"/>
        <w:u w:val="none" w:color="000000"/>
        <w:vertAlign w:val="baseline"/>
        <w14:shadow w14:blurRad="0" w14:dist="0" w14:dir="0" w14:sx="0" w14:sy="0" w14:kx="0" w14:ky="0" w14:algn="none">
          <w14:srgbClr w14:val="000000"/>
        </w14:shadow>
      </w:rPr>
    </w:lvl>
    <w:lvl w:ilvl="4" w:tentative="0">
      <w:start w:val="1"/>
      <w:numFmt w:val="decimal"/>
      <w:suff w:val="space"/>
      <w:lvlText w:val="%1.%2.%3.%4.%5"/>
      <w:lvlJc w:val="left"/>
      <w:pPr>
        <w:ind w:left="425" w:hanging="425"/>
      </w:pPr>
      <w:rPr>
        <w:rFonts w:hint="default" w:ascii="Times New Roman" w:hAnsi="Times New Roman" w:eastAsia="宋体"/>
        <w:b w:val="0"/>
        <w:bCs w:val="0"/>
        <w:i w:val="0"/>
        <w:iCs w:val="0"/>
        <w:caps w:val="0"/>
        <w:smallCaps w:val="0"/>
        <w:strike w:val="0"/>
        <w:dstrike w:val="0"/>
        <w:vanish w:val="0"/>
        <w:color w:val="000000"/>
        <w:spacing w:val="0"/>
        <w:position w:val="0"/>
        <w:sz w:val="24"/>
        <w:u w:val="none"/>
        <w:vertAlign w:val="baseline"/>
        <w14:shadow w14:blurRad="0" w14:dist="0" w14:dir="0" w14:sx="0" w14:sy="0" w14:kx="0" w14:ky="0" w14:algn="none">
          <w14:srgbClr w14:val="000000"/>
        </w14:shadow>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23"/>
    <w:rsid w:val="0011328C"/>
    <w:rsid w:val="00162BBB"/>
    <w:rsid w:val="001C0001"/>
    <w:rsid w:val="001C626B"/>
    <w:rsid w:val="00236A4E"/>
    <w:rsid w:val="002652BB"/>
    <w:rsid w:val="00315784"/>
    <w:rsid w:val="00336415"/>
    <w:rsid w:val="003A6772"/>
    <w:rsid w:val="003D4CD3"/>
    <w:rsid w:val="003F25AF"/>
    <w:rsid w:val="00424BDB"/>
    <w:rsid w:val="0044463A"/>
    <w:rsid w:val="00452FB1"/>
    <w:rsid w:val="00513211"/>
    <w:rsid w:val="0053081A"/>
    <w:rsid w:val="005F28AC"/>
    <w:rsid w:val="0068479C"/>
    <w:rsid w:val="006A2BBD"/>
    <w:rsid w:val="006D573D"/>
    <w:rsid w:val="006E0358"/>
    <w:rsid w:val="007420A6"/>
    <w:rsid w:val="007C0B33"/>
    <w:rsid w:val="007D7A2F"/>
    <w:rsid w:val="00804B6C"/>
    <w:rsid w:val="008C2523"/>
    <w:rsid w:val="00950240"/>
    <w:rsid w:val="009B23B8"/>
    <w:rsid w:val="009D322A"/>
    <w:rsid w:val="00A11815"/>
    <w:rsid w:val="00AC0E34"/>
    <w:rsid w:val="00B03922"/>
    <w:rsid w:val="00B17173"/>
    <w:rsid w:val="00C41752"/>
    <w:rsid w:val="00DF338D"/>
    <w:rsid w:val="00F800CC"/>
    <w:rsid w:val="010F6878"/>
    <w:rsid w:val="011D26C5"/>
    <w:rsid w:val="017D43BA"/>
    <w:rsid w:val="01964270"/>
    <w:rsid w:val="01A44F46"/>
    <w:rsid w:val="01C040CA"/>
    <w:rsid w:val="01C64604"/>
    <w:rsid w:val="01E943A0"/>
    <w:rsid w:val="021A6C4F"/>
    <w:rsid w:val="022D1F39"/>
    <w:rsid w:val="02846D7B"/>
    <w:rsid w:val="02FA10DA"/>
    <w:rsid w:val="02FC6355"/>
    <w:rsid w:val="02FF0DA1"/>
    <w:rsid w:val="031E4146"/>
    <w:rsid w:val="03222CA7"/>
    <w:rsid w:val="033A6D92"/>
    <w:rsid w:val="03530B2A"/>
    <w:rsid w:val="037153A5"/>
    <w:rsid w:val="039452FF"/>
    <w:rsid w:val="039E3CFB"/>
    <w:rsid w:val="039E565E"/>
    <w:rsid w:val="03E8081B"/>
    <w:rsid w:val="03FB1CE8"/>
    <w:rsid w:val="040556DD"/>
    <w:rsid w:val="04065EC4"/>
    <w:rsid w:val="04310280"/>
    <w:rsid w:val="043C1AB6"/>
    <w:rsid w:val="044C6208"/>
    <w:rsid w:val="04504BAA"/>
    <w:rsid w:val="04612748"/>
    <w:rsid w:val="0466502E"/>
    <w:rsid w:val="04682B05"/>
    <w:rsid w:val="049A4077"/>
    <w:rsid w:val="04A10F62"/>
    <w:rsid w:val="051A67A8"/>
    <w:rsid w:val="058844A8"/>
    <w:rsid w:val="05983359"/>
    <w:rsid w:val="05995F3C"/>
    <w:rsid w:val="05A8567B"/>
    <w:rsid w:val="064F32DE"/>
    <w:rsid w:val="0682498C"/>
    <w:rsid w:val="068C6914"/>
    <w:rsid w:val="06A007B1"/>
    <w:rsid w:val="06A77C2A"/>
    <w:rsid w:val="06CE1DB6"/>
    <w:rsid w:val="06D85736"/>
    <w:rsid w:val="06E72E78"/>
    <w:rsid w:val="071C5E35"/>
    <w:rsid w:val="075C7456"/>
    <w:rsid w:val="077F34B3"/>
    <w:rsid w:val="07876E2F"/>
    <w:rsid w:val="07EC25E3"/>
    <w:rsid w:val="080F3840"/>
    <w:rsid w:val="08250CD6"/>
    <w:rsid w:val="08392E2D"/>
    <w:rsid w:val="0842044B"/>
    <w:rsid w:val="084625B5"/>
    <w:rsid w:val="08817A47"/>
    <w:rsid w:val="08B6048F"/>
    <w:rsid w:val="08EE614C"/>
    <w:rsid w:val="090B704A"/>
    <w:rsid w:val="096B1B3E"/>
    <w:rsid w:val="096D4858"/>
    <w:rsid w:val="09AA5D40"/>
    <w:rsid w:val="09C12FE7"/>
    <w:rsid w:val="0A067AB9"/>
    <w:rsid w:val="0A396D69"/>
    <w:rsid w:val="0A5B7E05"/>
    <w:rsid w:val="0A5C3EAF"/>
    <w:rsid w:val="0A630F7B"/>
    <w:rsid w:val="0AAC0660"/>
    <w:rsid w:val="0AAF1EFF"/>
    <w:rsid w:val="0AC62986"/>
    <w:rsid w:val="0B0B182B"/>
    <w:rsid w:val="0B1026F3"/>
    <w:rsid w:val="0B387A19"/>
    <w:rsid w:val="0B462863"/>
    <w:rsid w:val="0B4B4441"/>
    <w:rsid w:val="0B6039BD"/>
    <w:rsid w:val="0BAB69EC"/>
    <w:rsid w:val="0BCB68A3"/>
    <w:rsid w:val="0C2D5832"/>
    <w:rsid w:val="0C445CB0"/>
    <w:rsid w:val="0CFF4C13"/>
    <w:rsid w:val="0D0158A2"/>
    <w:rsid w:val="0DAB10A3"/>
    <w:rsid w:val="0DD56120"/>
    <w:rsid w:val="0E0C0A6A"/>
    <w:rsid w:val="0E19594F"/>
    <w:rsid w:val="0E335531"/>
    <w:rsid w:val="0E622D37"/>
    <w:rsid w:val="0E707BF7"/>
    <w:rsid w:val="0EB0618E"/>
    <w:rsid w:val="0EB9334C"/>
    <w:rsid w:val="0F0160DC"/>
    <w:rsid w:val="0F305DD0"/>
    <w:rsid w:val="0F317386"/>
    <w:rsid w:val="0F361A38"/>
    <w:rsid w:val="0F490B74"/>
    <w:rsid w:val="0F926FE3"/>
    <w:rsid w:val="0FC1070A"/>
    <w:rsid w:val="0FD265E8"/>
    <w:rsid w:val="0FDE57E2"/>
    <w:rsid w:val="10364343"/>
    <w:rsid w:val="10432FAE"/>
    <w:rsid w:val="10C54008"/>
    <w:rsid w:val="10CF3395"/>
    <w:rsid w:val="10EB5D9A"/>
    <w:rsid w:val="11114067"/>
    <w:rsid w:val="111D5E14"/>
    <w:rsid w:val="1121513E"/>
    <w:rsid w:val="114D25EE"/>
    <w:rsid w:val="118B4A83"/>
    <w:rsid w:val="11A7428F"/>
    <w:rsid w:val="11AE4CBE"/>
    <w:rsid w:val="11F0250D"/>
    <w:rsid w:val="1223075D"/>
    <w:rsid w:val="12232376"/>
    <w:rsid w:val="12266B04"/>
    <w:rsid w:val="122E3C77"/>
    <w:rsid w:val="123963DD"/>
    <w:rsid w:val="12472867"/>
    <w:rsid w:val="12982B2B"/>
    <w:rsid w:val="12A914E4"/>
    <w:rsid w:val="12D75A0D"/>
    <w:rsid w:val="1300779B"/>
    <w:rsid w:val="13157522"/>
    <w:rsid w:val="131A2812"/>
    <w:rsid w:val="138C102F"/>
    <w:rsid w:val="13C85418"/>
    <w:rsid w:val="13E120A5"/>
    <w:rsid w:val="13EB4065"/>
    <w:rsid w:val="13F54AAA"/>
    <w:rsid w:val="14180B9C"/>
    <w:rsid w:val="14270D58"/>
    <w:rsid w:val="143473D5"/>
    <w:rsid w:val="1447158D"/>
    <w:rsid w:val="144D6668"/>
    <w:rsid w:val="146D1429"/>
    <w:rsid w:val="148E094F"/>
    <w:rsid w:val="14E64434"/>
    <w:rsid w:val="151223D8"/>
    <w:rsid w:val="1553486B"/>
    <w:rsid w:val="159218CC"/>
    <w:rsid w:val="15CC23C9"/>
    <w:rsid w:val="16011778"/>
    <w:rsid w:val="161F262E"/>
    <w:rsid w:val="164E48E5"/>
    <w:rsid w:val="16614BA8"/>
    <w:rsid w:val="168A7107"/>
    <w:rsid w:val="16CB00C0"/>
    <w:rsid w:val="16F70EB5"/>
    <w:rsid w:val="171913B5"/>
    <w:rsid w:val="172C181F"/>
    <w:rsid w:val="173823B8"/>
    <w:rsid w:val="17487DE3"/>
    <w:rsid w:val="17556AA8"/>
    <w:rsid w:val="178518FE"/>
    <w:rsid w:val="17CB1F2F"/>
    <w:rsid w:val="17E72FBC"/>
    <w:rsid w:val="182044CD"/>
    <w:rsid w:val="18552337"/>
    <w:rsid w:val="187601DD"/>
    <w:rsid w:val="18E54A43"/>
    <w:rsid w:val="1939199D"/>
    <w:rsid w:val="194F3A92"/>
    <w:rsid w:val="19543A3C"/>
    <w:rsid w:val="19914F2C"/>
    <w:rsid w:val="19A7304C"/>
    <w:rsid w:val="19EB0D71"/>
    <w:rsid w:val="19ED1FA8"/>
    <w:rsid w:val="1A057BE8"/>
    <w:rsid w:val="1A1B58B1"/>
    <w:rsid w:val="1A2E4BEE"/>
    <w:rsid w:val="1A3D3083"/>
    <w:rsid w:val="1A7A42D7"/>
    <w:rsid w:val="1A8F40AA"/>
    <w:rsid w:val="1AD70929"/>
    <w:rsid w:val="1AED2FA4"/>
    <w:rsid w:val="1B133F78"/>
    <w:rsid w:val="1B1D5E2D"/>
    <w:rsid w:val="1B375D24"/>
    <w:rsid w:val="1B5C5E24"/>
    <w:rsid w:val="1BA70F4F"/>
    <w:rsid w:val="1BDC3813"/>
    <w:rsid w:val="1BFB493A"/>
    <w:rsid w:val="1C0D4CD7"/>
    <w:rsid w:val="1C595CF1"/>
    <w:rsid w:val="1C876837"/>
    <w:rsid w:val="1CBB1DE0"/>
    <w:rsid w:val="1CF12391"/>
    <w:rsid w:val="1D1A58FD"/>
    <w:rsid w:val="1D222711"/>
    <w:rsid w:val="1D291FA4"/>
    <w:rsid w:val="1D2A0A29"/>
    <w:rsid w:val="1D333DDD"/>
    <w:rsid w:val="1D37025D"/>
    <w:rsid w:val="1D4F26F8"/>
    <w:rsid w:val="1D5E3A3C"/>
    <w:rsid w:val="1D7B3FC0"/>
    <w:rsid w:val="1D7E7D98"/>
    <w:rsid w:val="1D9A259A"/>
    <w:rsid w:val="1DE859FC"/>
    <w:rsid w:val="1E0F00B6"/>
    <w:rsid w:val="1E10154B"/>
    <w:rsid w:val="1E1F0B7F"/>
    <w:rsid w:val="1E412748"/>
    <w:rsid w:val="1E4A14A1"/>
    <w:rsid w:val="1E504172"/>
    <w:rsid w:val="1EB82209"/>
    <w:rsid w:val="1EC2624D"/>
    <w:rsid w:val="1ED112F6"/>
    <w:rsid w:val="1EE755E2"/>
    <w:rsid w:val="1F0E6B72"/>
    <w:rsid w:val="1F395772"/>
    <w:rsid w:val="1F9C327C"/>
    <w:rsid w:val="1FC54BDF"/>
    <w:rsid w:val="20570752"/>
    <w:rsid w:val="20941494"/>
    <w:rsid w:val="20DB11F7"/>
    <w:rsid w:val="20DB2206"/>
    <w:rsid w:val="21077028"/>
    <w:rsid w:val="210A32D4"/>
    <w:rsid w:val="2136465D"/>
    <w:rsid w:val="21574B96"/>
    <w:rsid w:val="21E8173A"/>
    <w:rsid w:val="22464161"/>
    <w:rsid w:val="228377FC"/>
    <w:rsid w:val="228B48E6"/>
    <w:rsid w:val="22903763"/>
    <w:rsid w:val="22B800CF"/>
    <w:rsid w:val="22DF5A2E"/>
    <w:rsid w:val="22FF7A6F"/>
    <w:rsid w:val="231633AE"/>
    <w:rsid w:val="2370704D"/>
    <w:rsid w:val="238418B9"/>
    <w:rsid w:val="238705BD"/>
    <w:rsid w:val="23D74FBD"/>
    <w:rsid w:val="23F65000"/>
    <w:rsid w:val="240769A9"/>
    <w:rsid w:val="243E6929"/>
    <w:rsid w:val="246E33EC"/>
    <w:rsid w:val="24A51AFA"/>
    <w:rsid w:val="24B952FC"/>
    <w:rsid w:val="24DB4284"/>
    <w:rsid w:val="250D57C2"/>
    <w:rsid w:val="25205A7B"/>
    <w:rsid w:val="25455F2C"/>
    <w:rsid w:val="254E717C"/>
    <w:rsid w:val="25733DFD"/>
    <w:rsid w:val="259D70CC"/>
    <w:rsid w:val="25AB2C08"/>
    <w:rsid w:val="25E57752"/>
    <w:rsid w:val="263072E0"/>
    <w:rsid w:val="265C49B7"/>
    <w:rsid w:val="265E53CE"/>
    <w:rsid w:val="2665703D"/>
    <w:rsid w:val="269009DE"/>
    <w:rsid w:val="26950CA5"/>
    <w:rsid w:val="26AA5F44"/>
    <w:rsid w:val="26BB5A5B"/>
    <w:rsid w:val="26CA0394"/>
    <w:rsid w:val="26E41610"/>
    <w:rsid w:val="26EA0E3B"/>
    <w:rsid w:val="26EC744E"/>
    <w:rsid w:val="2708142E"/>
    <w:rsid w:val="27196C26"/>
    <w:rsid w:val="272B06D4"/>
    <w:rsid w:val="272F2D13"/>
    <w:rsid w:val="273B7B6E"/>
    <w:rsid w:val="27712702"/>
    <w:rsid w:val="277D6AC7"/>
    <w:rsid w:val="279462AC"/>
    <w:rsid w:val="279829D1"/>
    <w:rsid w:val="27BA4071"/>
    <w:rsid w:val="27C850BD"/>
    <w:rsid w:val="281573ED"/>
    <w:rsid w:val="28361FD3"/>
    <w:rsid w:val="28611842"/>
    <w:rsid w:val="287F28E2"/>
    <w:rsid w:val="288652D7"/>
    <w:rsid w:val="28936F0B"/>
    <w:rsid w:val="28964A2B"/>
    <w:rsid w:val="289B1579"/>
    <w:rsid w:val="28BA4832"/>
    <w:rsid w:val="28C127EC"/>
    <w:rsid w:val="28D6770F"/>
    <w:rsid w:val="28E5105F"/>
    <w:rsid w:val="28F04484"/>
    <w:rsid w:val="29210627"/>
    <w:rsid w:val="293C2D8B"/>
    <w:rsid w:val="298505A2"/>
    <w:rsid w:val="299407E6"/>
    <w:rsid w:val="299F2254"/>
    <w:rsid w:val="29B42C81"/>
    <w:rsid w:val="29BA54F4"/>
    <w:rsid w:val="29E24E25"/>
    <w:rsid w:val="29FE5F09"/>
    <w:rsid w:val="2AAE6948"/>
    <w:rsid w:val="2ABB0720"/>
    <w:rsid w:val="2B0640DD"/>
    <w:rsid w:val="2B0805CD"/>
    <w:rsid w:val="2B1775A7"/>
    <w:rsid w:val="2B6E7D01"/>
    <w:rsid w:val="2B77782F"/>
    <w:rsid w:val="2B8368A1"/>
    <w:rsid w:val="2B861DA7"/>
    <w:rsid w:val="2B996426"/>
    <w:rsid w:val="2BD15080"/>
    <w:rsid w:val="2BF92116"/>
    <w:rsid w:val="2C155886"/>
    <w:rsid w:val="2C6D010D"/>
    <w:rsid w:val="2CA12F64"/>
    <w:rsid w:val="2CA84CD4"/>
    <w:rsid w:val="2CB00DEF"/>
    <w:rsid w:val="2CDA29B3"/>
    <w:rsid w:val="2CE91423"/>
    <w:rsid w:val="2D746EF7"/>
    <w:rsid w:val="2DE262C4"/>
    <w:rsid w:val="2E393D18"/>
    <w:rsid w:val="2EB97163"/>
    <w:rsid w:val="2ECB2EF6"/>
    <w:rsid w:val="2EDF5507"/>
    <w:rsid w:val="2EFD4FC2"/>
    <w:rsid w:val="2F05718B"/>
    <w:rsid w:val="2F230642"/>
    <w:rsid w:val="2F237FA6"/>
    <w:rsid w:val="2F3A1EFF"/>
    <w:rsid w:val="2F625733"/>
    <w:rsid w:val="2F98094B"/>
    <w:rsid w:val="2FA41F40"/>
    <w:rsid w:val="2FA7378E"/>
    <w:rsid w:val="2FDD78F5"/>
    <w:rsid w:val="2FE2063D"/>
    <w:rsid w:val="302B6B6C"/>
    <w:rsid w:val="303445F8"/>
    <w:rsid w:val="304C67C6"/>
    <w:rsid w:val="30DC59EC"/>
    <w:rsid w:val="30DD2A72"/>
    <w:rsid w:val="310E5DFD"/>
    <w:rsid w:val="312D2100"/>
    <w:rsid w:val="313E1763"/>
    <w:rsid w:val="316169AD"/>
    <w:rsid w:val="31735BA9"/>
    <w:rsid w:val="319265C8"/>
    <w:rsid w:val="31B9703B"/>
    <w:rsid w:val="31C12394"/>
    <w:rsid w:val="31DF0553"/>
    <w:rsid w:val="31E63CE5"/>
    <w:rsid w:val="31E7004C"/>
    <w:rsid w:val="32801093"/>
    <w:rsid w:val="32B4377E"/>
    <w:rsid w:val="32DA0453"/>
    <w:rsid w:val="32E571AC"/>
    <w:rsid w:val="33452986"/>
    <w:rsid w:val="33550FE6"/>
    <w:rsid w:val="339B6E55"/>
    <w:rsid w:val="339E4F38"/>
    <w:rsid w:val="33F22E53"/>
    <w:rsid w:val="3400629D"/>
    <w:rsid w:val="34145758"/>
    <w:rsid w:val="343C67E7"/>
    <w:rsid w:val="34514926"/>
    <w:rsid w:val="34792EE1"/>
    <w:rsid w:val="347F7149"/>
    <w:rsid w:val="34A16545"/>
    <w:rsid w:val="34BB63FE"/>
    <w:rsid w:val="34BC3640"/>
    <w:rsid w:val="34D8206D"/>
    <w:rsid w:val="34DA5C46"/>
    <w:rsid w:val="35531555"/>
    <w:rsid w:val="355E6877"/>
    <w:rsid w:val="3566572C"/>
    <w:rsid w:val="357C7345"/>
    <w:rsid w:val="358C07AE"/>
    <w:rsid w:val="35934A87"/>
    <w:rsid w:val="35977890"/>
    <w:rsid w:val="35B35B18"/>
    <w:rsid w:val="35E1263E"/>
    <w:rsid w:val="35E76D3F"/>
    <w:rsid w:val="35E835A1"/>
    <w:rsid w:val="366137FF"/>
    <w:rsid w:val="36B16A99"/>
    <w:rsid w:val="37160A8C"/>
    <w:rsid w:val="37223E8F"/>
    <w:rsid w:val="374C7266"/>
    <w:rsid w:val="374D7D2D"/>
    <w:rsid w:val="3757687C"/>
    <w:rsid w:val="379D4EBE"/>
    <w:rsid w:val="37A60472"/>
    <w:rsid w:val="37FB4EA6"/>
    <w:rsid w:val="38172D0E"/>
    <w:rsid w:val="38222A70"/>
    <w:rsid w:val="383B2A1C"/>
    <w:rsid w:val="384E186A"/>
    <w:rsid w:val="38675A43"/>
    <w:rsid w:val="38804CF0"/>
    <w:rsid w:val="38A26A7B"/>
    <w:rsid w:val="38AA3B82"/>
    <w:rsid w:val="38B36EDA"/>
    <w:rsid w:val="38C70D04"/>
    <w:rsid w:val="3914724D"/>
    <w:rsid w:val="39273432"/>
    <w:rsid w:val="394A2C6F"/>
    <w:rsid w:val="39852C05"/>
    <w:rsid w:val="39965EB4"/>
    <w:rsid w:val="39B71F34"/>
    <w:rsid w:val="39E64FA6"/>
    <w:rsid w:val="3A080E8F"/>
    <w:rsid w:val="3A2820B3"/>
    <w:rsid w:val="3A4A2880"/>
    <w:rsid w:val="3AC32CD9"/>
    <w:rsid w:val="3AD24F08"/>
    <w:rsid w:val="3AF13613"/>
    <w:rsid w:val="3B2B7F1D"/>
    <w:rsid w:val="3B3A3738"/>
    <w:rsid w:val="3B7A783B"/>
    <w:rsid w:val="3B806992"/>
    <w:rsid w:val="3B874AF7"/>
    <w:rsid w:val="3BBA7083"/>
    <w:rsid w:val="3BBF4878"/>
    <w:rsid w:val="3BE53BD8"/>
    <w:rsid w:val="3BFD221A"/>
    <w:rsid w:val="3C623026"/>
    <w:rsid w:val="3C65673D"/>
    <w:rsid w:val="3CAE7413"/>
    <w:rsid w:val="3CD450B9"/>
    <w:rsid w:val="3D4225DB"/>
    <w:rsid w:val="3D75349E"/>
    <w:rsid w:val="3D7C2E70"/>
    <w:rsid w:val="3D894ACA"/>
    <w:rsid w:val="3DAB6710"/>
    <w:rsid w:val="3DB50FFF"/>
    <w:rsid w:val="3DEC6B1F"/>
    <w:rsid w:val="3DF77869"/>
    <w:rsid w:val="3E06185A"/>
    <w:rsid w:val="3E451A9D"/>
    <w:rsid w:val="3EAB68E3"/>
    <w:rsid w:val="3EB155F4"/>
    <w:rsid w:val="3EC22EA1"/>
    <w:rsid w:val="3EFF41D0"/>
    <w:rsid w:val="3F033FEC"/>
    <w:rsid w:val="3F061EB3"/>
    <w:rsid w:val="3F3409F6"/>
    <w:rsid w:val="3F3A0BF9"/>
    <w:rsid w:val="3F4A1C1A"/>
    <w:rsid w:val="3F5E05CF"/>
    <w:rsid w:val="3F8C5D8F"/>
    <w:rsid w:val="3F9B11A9"/>
    <w:rsid w:val="3F9C2D79"/>
    <w:rsid w:val="3FAE0620"/>
    <w:rsid w:val="3FCD229F"/>
    <w:rsid w:val="3FE67B95"/>
    <w:rsid w:val="402661E4"/>
    <w:rsid w:val="40387EB3"/>
    <w:rsid w:val="404843AC"/>
    <w:rsid w:val="406F2159"/>
    <w:rsid w:val="40833DCA"/>
    <w:rsid w:val="40FA541D"/>
    <w:rsid w:val="40FA7EED"/>
    <w:rsid w:val="41052AFB"/>
    <w:rsid w:val="410C46F1"/>
    <w:rsid w:val="41747071"/>
    <w:rsid w:val="417D7DF9"/>
    <w:rsid w:val="41EE4ADF"/>
    <w:rsid w:val="41FB36A0"/>
    <w:rsid w:val="420C743B"/>
    <w:rsid w:val="424E3E48"/>
    <w:rsid w:val="42554B5E"/>
    <w:rsid w:val="42573480"/>
    <w:rsid w:val="42840754"/>
    <w:rsid w:val="42F9650F"/>
    <w:rsid w:val="431D5CA3"/>
    <w:rsid w:val="434F15AD"/>
    <w:rsid w:val="43617533"/>
    <w:rsid w:val="43EC14F2"/>
    <w:rsid w:val="440C56F0"/>
    <w:rsid w:val="4439400C"/>
    <w:rsid w:val="444F0682"/>
    <w:rsid w:val="446C1E47"/>
    <w:rsid w:val="44735770"/>
    <w:rsid w:val="44BC3BC7"/>
    <w:rsid w:val="45444586"/>
    <w:rsid w:val="459E1862"/>
    <w:rsid w:val="45E77104"/>
    <w:rsid w:val="45FF62C3"/>
    <w:rsid w:val="46020C7E"/>
    <w:rsid w:val="462C5BDD"/>
    <w:rsid w:val="462F1A6E"/>
    <w:rsid w:val="465059D7"/>
    <w:rsid w:val="466024A3"/>
    <w:rsid w:val="46DB1260"/>
    <w:rsid w:val="46F87802"/>
    <w:rsid w:val="471843AC"/>
    <w:rsid w:val="47384CA0"/>
    <w:rsid w:val="4797283C"/>
    <w:rsid w:val="47973EB4"/>
    <w:rsid w:val="479E104E"/>
    <w:rsid w:val="47C25EB1"/>
    <w:rsid w:val="47DF0F89"/>
    <w:rsid w:val="48552C82"/>
    <w:rsid w:val="485B6C46"/>
    <w:rsid w:val="48C13C28"/>
    <w:rsid w:val="48C34168"/>
    <w:rsid w:val="490024D2"/>
    <w:rsid w:val="490B427D"/>
    <w:rsid w:val="491733FD"/>
    <w:rsid w:val="4954245D"/>
    <w:rsid w:val="496070BA"/>
    <w:rsid w:val="499B226F"/>
    <w:rsid w:val="499F637F"/>
    <w:rsid w:val="49AF724A"/>
    <w:rsid w:val="49C212D7"/>
    <w:rsid w:val="49E71C16"/>
    <w:rsid w:val="4A0550BC"/>
    <w:rsid w:val="4A0D53C9"/>
    <w:rsid w:val="4A24639C"/>
    <w:rsid w:val="4A2F26B5"/>
    <w:rsid w:val="4A470BBD"/>
    <w:rsid w:val="4A6122B4"/>
    <w:rsid w:val="4A722025"/>
    <w:rsid w:val="4A854447"/>
    <w:rsid w:val="4AD61D29"/>
    <w:rsid w:val="4B11183E"/>
    <w:rsid w:val="4B280AC3"/>
    <w:rsid w:val="4B420282"/>
    <w:rsid w:val="4B963A09"/>
    <w:rsid w:val="4B9F509C"/>
    <w:rsid w:val="4BC3527E"/>
    <w:rsid w:val="4C09719A"/>
    <w:rsid w:val="4C0A69B9"/>
    <w:rsid w:val="4C2C4B82"/>
    <w:rsid w:val="4CDE3A06"/>
    <w:rsid w:val="4CFB09F8"/>
    <w:rsid w:val="4D0649F1"/>
    <w:rsid w:val="4D1707FF"/>
    <w:rsid w:val="4D442BB5"/>
    <w:rsid w:val="4D804D64"/>
    <w:rsid w:val="4E0B6685"/>
    <w:rsid w:val="4E310F9C"/>
    <w:rsid w:val="4E3C3271"/>
    <w:rsid w:val="4E567CC1"/>
    <w:rsid w:val="4E5D7FCE"/>
    <w:rsid w:val="4E73616A"/>
    <w:rsid w:val="4EA17FCA"/>
    <w:rsid w:val="4EB40D0A"/>
    <w:rsid w:val="4EC215BB"/>
    <w:rsid w:val="4ED60DD5"/>
    <w:rsid w:val="4F284A85"/>
    <w:rsid w:val="4F3F22D2"/>
    <w:rsid w:val="4F5B00F8"/>
    <w:rsid w:val="4F6C34E7"/>
    <w:rsid w:val="4F813436"/>
    <w:rsid w:val="4FF16E00"/>
    <w:rsid w:val="50160FEC"/>
    <w:rsid w:val="50416722"/>
    <w:rsid w:val="50653BC0"/>
    <w:rsid w:val="50915027"/>
    <w:rsid w:val="50D57160"/>
    <w:rsid w:val="50DE2F9F"/>
    <w:rsid w:val="50E33C7D"/>
    <w:rsid w:val="5137395A"/>
    <w:rsid w:val="5139389D"/>
    <w:rsid w:val="515626A1"/>
    <w:rsid w:val="51654692"/>
    <w:rsid w:val="516C5A20"/>
    <w:rsid w:val="51F72964"/>
    <w:rsid w:val="52034C69"/>
    <w:rsid w:val="521F0CE5"/>
    <w:rsid w:val="52417FE5"/>
    <w:rsid w:val="52751ED8"/>
    <w:rsid w:val="527E4D31"/>
    <w:rsid w:val="529846F2"/>
    <w:rsid w:val="52B14CF0"/>
    <w:rsid w:val="52E11B6C"/>
    <w:rsid w:val="531342F1"/>
    <w:rsid w:val="533D41F2"/>
    <w:rsid w:val="53656B51"/>
    <w:rsid w:val="537961D3"/>
    <w:rsid w:val="53892D0B"/>
    <w:rsid w:val="539A07A5"/>
    <w:rsid w:val="53E75FCA"/>
    <w:rsid w:val="540E458B"/>
    <w:rsid w:val="5422686A"/>
    <w:rsid w:val="54464F27"/>
    <w:rsid w:val="54561C2F"/>
    <w:rsid w:val="54617393"/>
    <w:rsid w:val="54923FC1"/>
    <w:rsid w:val="54BE0A5D"/>
    <w:rsid w:val="54C270EC"/>
    <w:rsid w:val="54F56011"/>
    <w:rsid w:val="5511700B"/>
    <w:rsid w:val="55644F7D"/>
    <w:rsid w:val="5583158B"/>
    <w:rsid w:val="559B5BA0"/>
    <w:rsid w:val="55A61974"/>
    <w:rsid w:val="564106E9"/>
    <w:rsid w:val="56BC4F55"/>
    <w:rsid w:val="56D52CAF"/>
    <w:rsid w:val="57156EA4"/>
    <w:rsid w:val="573E1C0D"/>
    <w:rsid w:val="574A2360"/>
    <w:rsid w:val="574F6C4E"/>
    <w:rsid w:val="57670E31"/>
    <w:rsid w:val="578F22AE"/>
    <w:rsid w:val="5809221B"/>
    <w:rsid w:val="582C7741"/>
    <w:rsid w:val="583D0117"/>
    <w:rsid w:val="584B364B"/>
    <w:rsid w:val="586F3BBD"/>
    <w:rsid w:val="589870FB"/>
    <w:rsid w:val="58D5034F"/>
    <w:rsid w:val="58DA4686"/>
    <w:rsid w:val="58F92C0C"/>
    <w:rsid w:val="597E4B39"/>
    <w:rsid w:val="5983567F"/>
    <w:rsid w:val="59A20F78"/>
    <w:rsid w:val="59D32708"/>
    <w:rsid w:val="59E65BE1"/>
    <w:rsid w:val="59E7033A"/>
    <w:rsid w:val="5A03762B"/>
    <w:rsid w:val="5A2D1082"/>
    <w:rsid w:val="5A36042E"/>
    <w:rsid w:val="5A4B630D"/>
    <w:rsid w:val="5A56628D"/>
    <w:rsid w:val="5A795731"/>
    <w:rsid w:val="5A8C2AB1"/>
    <w:rsid w:val="5A977CE7"/>
    <w:rsid w:val="5A9D30EE"/>
    <w:rsid w:val="5AB92FD5"/>
    <w:rsid w:val="5AD50B17"/>
    <w:rsid w:val="5ADA1261"/>
    <w:rsid w:val="5AE359FA"/>
    <w:rsid w:val="5AFC1BC3"/>
    <w:rsid w:val="5B2735D5"/>
    <w:rsid w:val="5B306935"/>
    <w:rsid w:val="5B7C4881"/>
    <w:rsid w:val="5B8C3C93"/>
    <w:rsid w:val="5BC4079F"/>
    <w:rsid w:val="5C3270A0"/>
    <w:rsid w:val="5C462781"/>
    <w:rsid w:val="5C4C0928"/>
    <w:rsid w:val="5C657C3C"/>
    <w:rsid w:val="5C7B4D96"/>
    <w:rsid w:val="5C7D7180"/>
    <w:rsid w:val="5C9347A9"/>
    <w:rsid w:val="5CCA7540"/>
    <w:rsid w:val="5CE4778D"/>
    <w:rsid w:val="5CFA7995"/>
    <w:rsid w:val="5CFB53A6"/>
    <w:rsid w:val="5D251D89"/>
    <w:rsid w:val="5D2B4FD5"/>
    <w:rsid w:val="5D2C1025"/>
    <w:rsid w:val="5D3E55C5"/>
    <w:rsid w:val="5D582E2F"/>
    <w:rsid w:val="5D61660F"/>
    <w:rsid w:val="5D8A3EDF"/>
    <w:rsid w:val="5D954DE2"/>
    <w:rsid w:val="5DAA1DAA"/>
    <w:rsid w:val="5DB176C9"/>
    <w:rsid w:val="5DC75EFF"/>
    <w:rsid w:val="5E370EEC"/>
    <w:rsid w:val="5E45329D"/>
    <w:rsid w:val="5E862E41"/>
    <w:rsid w:val="5EBC5047"/>
    <w:rsid w:val="5ED61AED"/>
    <w:rsid w:val="5F196F61"/>
    <w:rsid w:val="5F1C2834"/>
    <w:rsid w:val="5F2C67EF"/>
    <w:rsid w:val="5F381629"/>
    <w:rsid w:val="5F4B4EC7"/>
    <w:rsid w:val="5F5B3CD4"/>
    <w:rsid w:val="5FAD15AA"/>
    <w:rsid w:val="5FBF1411"/>
    <w:rsid w:val="5FD650D9"/>
    <w:rsid w:val="5FDD6399"/>
    <w:rsid w:val="5FE1243E"/>
    <w:rsid w:val="5FFE1D4B"/>
    <w:rsid w:val="6014357C"/>
    <w:rsid w:val="603229B2"/>
    <w:rsid w:val="604E1113"/>
    <w:rsid w:val="60E545D3"/>
    <w:rsid w:val="60E8486C"/>
    <w:rsid w:val="60FC43CA"/>
    <w:rsid w:val="610B5D8F"/>
    <w:rsid w:val="610F68CD"/>
    <w:rsid w:val="616E30EF"/>
    <w:rsid w:val="621F54C6"/>
    <w:rsid w:val="622D3D7C"/>
    <w:rsid w:val="62487121"/>
    <w:rsid w:val="62760472"/>
    <w:rsid w:val="6280750C"/>
    <w:rsid w:val="62903A24"/>
    <w:rsid w:val="63071A4D"/>
    <w:rsid w:val="63395FF8"/>
    <w:rsid w:val="636C382D"/>
    <w:rsid w:val="638240A1"/>
    <w:rsid w:val="6390563C"/>
    <w:rsid w:val="63B53758"/>
    <w:rsid w:val="64097FDB"/>
    <w:rsid w:val="640B263E"/>
    <w:rsid w:val="64445119"/>
    <w:rsid w:val="64957843"/>
    <w:rsid w:val="6497761D"/>
    <w:rsid w:val="64B05712"/>
    <w:rsid w:val="64B27ADB"/>
    <w:rsid w:val="64F762DB"/>
    <w:rsid w:val="65044BA7"/>
    <w:rsid w:val="65721160"/>
    <w:rsid w:val="658B79BE"/>
    <w:rsid w:val="65905D2A"/>
    <w:rsid w:val="659A78FB"/>
    <w:rsid w:val="65ED04A6"/>
    <w:rsid w:val="66833198"/>
    <w:rsid w:val="669A1449"/>
    <w:rsid w:val="66CB180E"/>
    <w:rsid w:val="66DE0D17"/>
    <w:rsid w:val="66F71345"/>
    <w:rsid w:val="670544F5"/>
    <w:rsid w:val="670D00C9"/>
    <w:rsid w:val="671228DE"/>
    <w:rsid w:val="671B7875"/>
    <w:rsid w:val="674C1D70"/>
    <w:rsid w:val="67596F8A"/>
    <w:rsid w:val="675F4433"/>
    <w:rsid w:val="679646D5"/>
    <w:rsid w:val="67A92F34"/>
    <w:rsid w:val="67C301C7"/>
    <w:rsid w:val="67D2243E"/>
    <w:rsid w:val="680570C8"/>
    <w:rsid w:val="68164583"/>
    <w:rsid w:val="6817003C"/>
    <w:rsid w:val="681744E0"/>
    <w:rsid w:val="68196C03"/>
    <w:rsid w:val="681E1E1B"/>
    <w:rsid w:val="685859B6"/>
    <w:rsid w:val="68750492"/>
    <w:rsid w:val="6884144A"/>
    <w:rsid w:val="68A45648"/>
    <w:rsid w:val="68ED6FEF"/>
    <w:rsid w:val="690F3409"/>
    <w:rsid w:val="69574777"/>
    <w:rsid w:val="698536CB"/>
    <w:rsid w:val="69A04061"/>
    <w:rsid w:val="69D02762"/>
    <w:rsid w:val="69DD0873"/>
    <w:rsid w:val="6A1B4163"/>
    <w:rsid w:val="6A9873F8"/>
    <w:rsid w:val="6AA45DD3"/>
    <w:rsid w:val="6AA52E99"/>
    <w:rsid w:val="6AB9362D"/>
    <w:rsid w:val="6AC40313"/>
    <w:rsid w:val="6ACE4D06"/>
    <w:rsid w:val="6B1D23F9"/>
    <w:rsid w:val="6B2032B2"/>
    <w:rsid w:val="6B501411"/>
    <w:rsid w:val="6B7408F7"/>
    <w:rsid w:val="6B7632CC"/>
    <w:rsid w:val="6B7633D5"/>
    <w:rsid w:val="6BDE1C6E"/>
    <w:rsid w:val="6BFC6EC7"/>
    <w:rsid w:val="6C246318"/>
    <w:rsid w:val="6C2A7BCE"/>
    <w:rsid w:val="6C3F52FC"/>
    <w:rsid w:val="6C4E4249"/>
    <w:rsid w:val="6C511FF3"/>
    <w:rsid w:val="6C61696F"/>
    <w:rsid w:val="6C7643B3"/>
    <w:rsid w:val="6C817BD7"/>
    <w:rsid w:val="6C8E2897"/>
    <w:rsid w:val="6C951E77"/>
    <w:rsid w:val="6CAF118B"/>
    <w:rsid w:val="6CD85EE9"/>
    <w:rsid w:val="6CE02CAD"/>
    <w:rsid w:val="6CE91E8C"/>
    <w:rsid w:val="6CED1F64"/>
    <w:rsid w:val="6CED588C"/>
    <w:rsid w:val="6D9143ED"/>
    <w:rsid w:val="6DBC04C6"/>
    <w:rsid w:val="6DF54486"/>
    <w:rsid w:val="6DFB3F5C"/>
    <w:rsid w:val="6DFD2E4D"/>
    <w:rsid w:val="6E18652B"/>
    <w:rsid w:val="6E4C3197"/>
    <w:rsid w:val="6E4C5EDF"/>
    <w:rsid w:val="6E6B4DAF"/>
    <w:rsid w:val="6E843F52"/>
    <w:rsid w:val="6EBE7FC3"/>
    <w:rsid w:val="6ED043C2"/>
    <w:rsid w:val="6EEB2223"/>
    <w:rsid w:val="6F0C3799"/>
    <w:rsid w:val="6F450822"/>
    <w:rsid w:val="6F591935"/>
    <w:rsid w:val="6F5A2F04"/>
    <w:rsid w:val="6F603D98"/>
    <w:rsid w:val="6F677C2E"/>
    <w:rsid w:val="6F704188"/>
    <w:rsid w:val="6F8A3C13"/>
    <w:rsid w:val="6F97438C"/>
    <w:rsid w:val="6FBF7DA6"/>
    <w:rsid w:val="6FC72EEB"/>
    <w:rsid w:val="6FD178F0"/>
    <w:rsid w:val="70441121"/>
    <w:rsid w:val="705E3F8C"/>
    <w:rsid w:val="707A4AF3"/>
    <w:rsid w:val="70922889"/>
    <w:rsid w:val="70C71521"/>
    <w:rsid w:val="70DE688A"/>
    <w:rsid w:val="70E602C5"/>
    <w:rsid w:val="713D79BF"/>
    <w:rsid w:val="71737ADB"/>
    <w:rsid w:val="717E7E96"/>
    <w:rsid w:val="718F6E95"/>
    <w:rsid w:val="71905BC6"/>
    <w:rsid w:val="71AD7A81"/>
    <w:rsid w:val="71E91772"/>
    <w:rsid w:val="722F6ED5"/>
    <w:rsid w:val="724B1ACB"/>
    <w:rsid w:val="72594094"/>
    <w:rsid w:val="725956F5"/>
    <w:rsid w:val="726C6ED0"/>
    <w:rsid w:val="727F33AE"/>
    <w:rsid w:val="72DA08EE"/>
    <w:rsid w:val="72F26881"/>
    <w:rsid w:val="734819F2"/>
    <w:rsid w:val="73523563"/>
    <w:rsid w:val="737E1FDA"/>
    <w:rsid w:val="73AF3484"/>
    <w:rsid w:val="73EC7FD2"/>
    <w:rsid w:val="74744A68"/>
    <w:rsid w:val="748E2FCE"/>
    <w:rsid w:val="74B63FF2"/>
    <w:rsid w:val="74BC3963"/>
    <w:rsid w:val="74F855DD"/>
    <w:rsid w:val="74F93BE7"/>
    <w:rsid w:val="7550156D"/>
    <w:rsid w:val="75C272B0"/>
    <w:rsid w:val="760C31AA"/>
    <w:rsid w:val="76194DD0"/>
    <w:rsid w:val="76726F26"/>
    <w:rsid w:val="76C70623"/>
    <w:rsid w:val="76FF144F"/>
    <w:rsid w:val="77425E1D"/>
    <w:rsid w:val="77830FC5"/>
    <w:rsid w:val="77B70EF4"/>
    <w:rsid w:val="77BA69A5"/>
    <w:rsid w:val="77C3332B"/>
    <w:rsid w:val="77CA5580"/>
    <w:rsid w:val="77D67D3F"/>
    <w:rsid w:val="77DA4F69"/>
    <w:rsid w:val="77E27F54"/>
    <w:rsid w:val="77EB6DF0"/>
    <w:rsid w:val="77FE1326"/>
    <w:rsid w:val="78121D3E"/>
    <w:rsid w:val="78175E36"/>
    <w:rsid w:val="78632E2A"/>
    <w:rsid w:val="78E0091E"/>
    <w:rsid w:val="78EC72C3"/>
    <w:rsid w:val="78EF3A1E"/>
    <w:rsid w:val="78F21A3E"/>
    <w:rsid w:val="78F326BE"/>
    <w:rsid w:val="7925031F"/>
    <w:rsid w:val="797B484A"/>
    <w:rsid w:val="7989359E"/>
    <w:rsid w:val="79954D1B"/>
    <w:rsid w:val="7A174228"/>
    <w:rsid w:val="7A281B3C"/>
    <w:rsid w:val="7A48677B"/>
    <w:rsid w:val="7A715E12"/>
    <w:rsid w:val="7A7D7694"/>
    <w:rsid w:val="7A801D50"/>
    <w:rsid w:val="7ACA23AE"/>
    <w:rsid w:val="7AD82769"/>
    <w:rsid w:val="7AF74794"/>
    <w:rsid w:val="7B1D20CD"/>
    <w:rsid w:val="7B4B12A4"/>
    <w:rsid w:val="7B6018A2"/>
    <w:rsid w:val="7B7E7838"/>
    <w:rsid w:val="7BA563C1"/>
    <w:rsid w:val="7BBD6CF5"/>
    <w:rsid w:val="7BBF481B"/>
    <w:rsid w:val="7BC65A04"/>
    <w:rsid w:val="7BC819C8"/>
    <w:rsid w:val="7BD5403F"/>
    <w:rsid w:val="7BE75B20"/>
    <w:rsid w:val="7BFF27A7"/>
    <w:rsid w:val="7C1D1542"/>
    <w:rsid w:val="7C5036C5"/>
    <w:rsid w:val="7C7A4BE6"/>
    <w:rsid w:val="7C833431"/>
    <w:rsid w:val="7C98069A"/>
    <w:rsid w:val="7CCC4BCC"/>
    <w:rsid w:val="7CE43DBB"/>
    <w:rsid w:val="7D053411"/>
    <w:rsid w:val="7D676DC7"/>
    <w:rsid w:val="7DC8567E"/>
    <w:rsid w:val="7DE762AB"/>
    <w:rsid w:val="7E186464"/>
    <w:rsid w:val="7E2777CA"/>
    <w:rsid w:val="7E54225E"/>
    <w:rsid w:val="7E6642A0"/>
    <w:rsid w:val="7EB51432"/>
    <w:rsid w:val="7EDD19DF"/>
    <w:rsid w:val="7F0D7F93"/>
    <w:rsid w:val="7F0F7867"/>
    <w:rsid w:val="7F203888"/>
    <w:rsid w:val="7F314917"/>
    <w:rsid w:val="7F360EB0"/>
    <w:rsid w:val="7F3F133E"/>
    <w:rsid w:val="7FB16EFC"/>
    <w:rsid w:val="7FBA46FB"/>
    <w:rsid w:val="7FCE466E"/>
    <w:rsid w:val="7FEC5D2F"/>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unhideWhenUsed/>
    <w:qFormat/>
    <w:uiPriority w:val="9"/>
    <w:pPr>
      <w:keepNext/>
      <w:keepLines/>
      <w:numPr>
        <w:ilvl w:val="1"/>
        <w:numId w:val="1"/>
      </w:numPr>
      <w:ind w:firstLine="0"/>
      <w:outlineLvl w:val="1"/>
    </w:pPr>
    <w:rPr>
      <w:rFonts w:cstheme="majorBidi"/>
      <w:b/>
      <w:bCs/>
      <w:sz w:val="30"/>
      <w:szCs w:val="32"/>
    </w:rPr>
  </w:style>
  <w:style w:type="paragraph" w:styleId="3">
    <w:name w:val="heading 3"/>
    <w:basedOn w:val="1"/>
    <w:next w:val="1"/>
    <w:unhideWhenUsed/>
    <w:qFormat/>
    <w:uiPriority w:val="9"/>
    <w:pPr>
      <w:keepNext/>
      <w:keepLines/>
      <w:outlineLvl w:val="2"/>
    </w:pPr>
    <w:rPr>
      <w:rFonts w:eastAsia="楷体"/>
      <w:b/>
      <w:bCs/>
      <w:szCs w:val="32"/>
    </w:rPr>
  </w:style>
  <w:style w:type="paragraph" w:styleId="4">
    <w:name w:val="heading 4"/>
    <w:basedOn w:val="1"/>
    <w:next w:val="1"/>
    <w:unhideWhenUsed/>
    <w:qFormat/>
    <w:uiPriority w:val="0"/>
    <w:pPr>
      <w:keepNext/>
      <w:keepLines/>
      <w:spacing w:before="50" w:beforeLines="50" w:after="50" w:afterLines="50" w:line="360" w:lineRule="auto"/>
      <w:outlineLvl w:val="3"/>
    </w:pPr>
    <w:rPr>
      <w:rFonts w:ascii="Times New Roman" w:hAnsi="Times New Roman"/>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spacing w:line="360" w:lineRule="atLeast"/>
      <w:ind w:firstLine="420"/>
    </w:pPr>
    <w:rPr>
      <w:sz w:val="24"/>
      <w:szCs w:val="20"/>
    </w:rPr>
  </w:style>
  <w:style w:type="paragraph" w:styleId="6">
    <w:name w:val="caption"/>
    <w:basedOn w:val="1"/>
    <w:next w:val="1"/>
    <w:link w:val="42"/>
    <w:qFormat/>
    <w:uiPriority w:val="35"/>
    <w:pPr>
      <w:jc w:val="center"/>
    </w:pPr>
    <w:rPr>
      <w:rFonts w:eastAsia="黑体" w:cs="黑体"/>
    </w:rPr>
  </w:style>
  <w:style w:type="paragraph" w:styleId="7">
    <w:name w:val="annotation text"/>
    <w:basedOn w:val="1"/>
    <w:link w:val="39"/>
    <w:unhideWhenUsed/>
    <w:qFormat/>
    <w:uiPriority w:val="99"/>
  </w:style>
  <w:style w:type="paragraph" w:styleId="8">
    <w:name w:val="Body Text"/>
    <w:basedOn w:val="1"/>
    <w:semiHidden/>
    <w:qFormat/>
    <w:uiPriority w:val="0"/>
    <w:rPr>
      <w:rFonts w:ascii="方正仿宋_GB2312" w:hAnsi="方正仿宋_GB2312" w:eastAsia="方正仿宋_GB2312" w:cs="方正仿宋_GB2312"/>
      <w:sz w:val="28"/>
      <w:szCs w:val="28"/>
    </w:rPr>
  </w:style>
  <w:style w:type="paragraph" w:styleId="9">
    <w:name w:val="Body Text Indent"/>
    <w:basedOn w:val="1"/>
    <w:semiHidden/>
    <w:unhideWhenUsed/>
    <w:qFormat/>
    <w:uiPriority w:val="99"/>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next w:val="12"/>
    <w:unhideWhenUsed/>
    <w:qFormat/>
    <w:uiPriority w:val="0"/>
    <w:rPr>
      <w:rFonts w:ascii="宋体" w:hAnsi="Courier New" w:cs="Courier New"/>
    </w:rPr>
  </w:style>
  <w:style w:type="paragraph" w:styleId="12">
    <w:name w:val="toc 1"/>
    <w:basedOn w:val="1"/>
    <w:next w:val="1"/>
    <w:qFormat/>
    <w:uiPriority w:val="0"/>
  </w:style>
  <w:style w:type="paragraph" w:styleId="13">
    <w:name w:val="Balloon Text"/>
    <w:basedOn w:val="1"/>
    <w:link w:val="41"/>
    <w:qFormat/>
    <w:uiPriority w:val="0"/>
    <w:rPr>
      <w:sz w:val="18"/>
      <w:szCs w:val="18"/>
    </w:rPr>
  </w:style>
  <w:style w:type="paragraph" w:styleId="14">
    <w:name w:val="footer"/>
    <w:basedOn w:val="1"/>
    <w:unhideWhenUsed/>
    <w:qFormat/>
    <w:uiPriority w:val="99"/>
    <w:pPr>
      <w:tabs>
        <w:tab w:val="center" w:pos="4153"/>
        <w:tab w:val="right" w:pos="8306"/>
      </w:tabs>
    </w:pPr>
    <w:rPr>
      <w:sz w:val="18"/>
      <w:szCs w:val="18"/>
    </w:rPr>
  </w:style>
  <w:style w:type="paragraph" w:styleId="15">
    <w:name w:val="envelope return"/>
    <w:basedOn w:val="1"/>
    <w:qFormat/>
    <w:uiPriority w:val="0"/>
    <w:pPr>
      <w:widowControl w:val="0"/>
      <w:spacing w:line="360" w:lineRule="auto"/>
      <w:ind w:firstLine="200" w:firstLineChars="200"/>
      <w:jc w:val="both"/>
    </w:pPr>
    <w:rPr>
      <w:rFonts w:eastAsia="仿宋" w:cstheme="minorBidi"/>
      <w:kern w:val="2"/>
      <w:sz w:val="28"/>
      <w:szCs w:val="22"/>
      <w:lang w:eastAsia="zh-CN"/>
    </w:rPr>
  </w:style>
  <w:style w:type="paragraph" w:styleId="16">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7">
    <w:name w:val="toc 2"/>
    <w:basedOn w:val="1"/>
    <w:next w:val="1"/>
    <w:qFormat/>
    <w:uiPriority w:val="0"/>
    <w:pPr>
      <w:ind w:left="420" w:leftChars="200"/>
    </w:pPr>
  </w:style>
  <w:style w:type="paragraph" w:styleId="18">
    <w:name w:val="annotation subject"/>
    <w:basedOn w:val="7"/>
    <w:next w:val="7"/>
    <w:link w:val="40"/>
    <w:qFormat/>
    <w:uiPriority w:val="0"/>
    <w:rPr>
      <w:b/>
      <w:bCs/>
    </w:rPr>
  </w:style>
  <w:style w:type="paragraph" w:styleId="19">
    <w:name w:val="Body Text First Indent 2"/>
    <w:basedOn w:val="9"/>
    <w:next w:val="1"/>
    <w:unhideWhenUsed/>
    <w:qFormat/>
    <w:uiPriority w:val="99"/>
    <w:pPr>
      <w:widowControl w:val="0"/>
      <w:ind w:firstLine="420"/>
      <w:jc w:val="both"/>
    </w:pPr>
    <w:rPr>
      <w:rFonts w:hint="eastAsia" w:ascii="等线" w:hAnsi="等线" w:eastAsia="等线" w:cs="Times New Roman"/>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0"/>
    <w:rPr>
      <w:color w:val="0000FF"/>
      <w:u w:val="single"/>
    </w:rPr>
  </w:style>
  <w:style w:type="character" w:styleId="24">
    <w:name w:val="annotation reference"/>
    <w:basedOn w:val="22"/>
    <w:qFormat/>
    <w:uiPriority w:val="0"/>
    <w:rPr>
      <w:sz w:val="21"/>
      <w:szCs w:val="21"/>
    </w:rPr>
  </w:style>
  <w:style w:type="paragraph" w:customStyle="1" w:styleId="25">
    <w:name w:val="表格里"/>
    <w:basedOn w:val="1"/>
    <w:autoRedefine/>
    <w:qFormat/>
    <w:uiPriority w:val="0"/>
    <w:pPr>
      <w:overflowPunct w:val="0"/>
      <w:jc w:val="center"/>
    </w:pPr>
    <w:rPr>
      <w:rFonts w:ascii="Times New Roman" w:hAnsi="Times New Roman" w:eastAsia="仿宋"/>
      <w:bCs/>
    </w:rPr>
  </w:style>
  <w:style w:type="paragraph" w:customStyle="1" w:styleId="26">
    <w:name w:val="表头"/>
    <w:basedOn w:val="1"/>
    <w:autoRedefine/>
    <w:qFormat/>
    <w:uiPriority w:val="0"/>
    <w:pPr>
      <w:jc w:val="center"/>
    </w:pPr>
    <w:rPr>
      <w:rFonts w:ascii="Times New Roman" w:hAnsi="Times New Roman" w:eastAsia="黑体" w:cs="Times New Roman"/>
      <w:b/>
      <w:sz w:val="24"/>
      <w:szCs w:val="28"/>
    </w:rPr>
  </w:style>
  <w:style w:type="paragraph" w:customStyle="1" w:styleId="27">
    <w:name w:val="首行缩进"/>
    <w:qFormat/>
    <w:uiPriority w:val="0"/>
    <w:pPr>
      <w:widowControl w:val="0"/>
      <w:autoSpaceDE w:val="0"/>
      <w:autoSpaceDN w:val="0"/>
      <w:spacing w:line="360" w:lineRule="auto"/>
      <w:ind w:firstLine="480" w:firstLineChars="200"/>
      <w:jc w:val="both"/>
    </w:pPr>
    <w:rPr>
      <w:rFonts w:ascii="Times New Roman" w:hAnsi="Times New Roman" w:eastAsia="宋体" w:cs="宋体"/>
      <w:sz w:val="24"/>
      <w:lang w:val="zh-CN" w:eastAsia="zh-CN" w:bidi="ar-SA"/>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Times New Roman" w:hAnsi="Times New Roman" w:eastAsia="Times New Roman" w:cs="Times New Roman"/>
      <w:sz w:val="24"/>
      <w:szCs w:val="24"/>
    </w:rPr>
  </w:style>
  <w:style w:type="paragraph" w:styleId="30">
    <w:name w:val="List Paragraph"/>
    <w:basedOn w:val="1"/>
    <w:qFormat/>
    <w:uiPriority w:val="34"/>
    <w:pPr>
      <w:ind w:firstLine="420" w:firstLineChars="200"/>
    </w:pPr>
  </w:style>
  <w:style w:type="paragraph" w:customStyle="1" w:styleId="31">
    <w:name w:val="表"/>
    <w:basedOn w:val="1"/>
    <w:qFormat/>
    <w:uiPriority w:val="0"/>
    <w:pPr>
      <w:jc w:val="center"/>
    </w:pPr>
  </w:style>
  <w:style w:type="character" w:customStyle="1" w:styleId="32">
    <w:name w:val="题注 字符"/>
    <w:basedOn w:val="22"/>
    <w:link w:val="6"/>
    <w:qFormat/>
    <w:uiPriority w:val="35"/>
    <w:rPr>
      <w:rFonts w:eastAsia="黑体" w:cs="黑体"/>
      <w:sz w:val="21"/>
    </w:rPr>
  </w:style>
  <w:style w:type="paragraph" w:customStyle="1" w:styleId="33">
    <w:name w:val="表格文字"/>
    <w:qFormat/>
    <w:uiPriority w:val="0"/>
    <w:pPr>
      <w:widowControl w:val="0"/>
      <w:autoSpaceDE w:val="0"/>
      <w:autoSpaceDN w:val="0"/>
      <w:jc w:val="center"/>
    </w:pPr>
    <w:rPr>
      <w:rFonts w:ascii="Times New Roman" w:hAnsi="Times New Roman" w:eastAsia="宋体" w:cs="Times New Roman"/>
      <w:sz w:val="21"/>
      <w:szCs w:val="21"/>
      <w:lang w:val="en-US" w:eastAsia="zh-CN" w:bidi="ar-SA"/>
    </w:rPr>
  </w:style>
  <w:style w:type="table" w:customStyle="1" w:styleId="34">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35">
    <w:name w:val="网格型6"/>
    <w:basedOn w:val="20"/>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font01"/>
    <w:basedOn w:val="22"/>
    <w:qFormat/>
    <w:uiPriority w:val="0"/>
    <w:rPr>
      <w:rFonts w:hint="eastAsia" w:ascii="宋体" w:hAnsi="宋体" w:eastAsia="宋体" w:cs="宋体"/>
      <w:color w:val="000000"/>
      <w:sz w:val="24"/>
      <w:szCs w:val="24"/>
      <w:u w:val="none"/>
    </w:rPr>
  </w:style>
  <w:style w:type="character" w:customStyle="1" w:styleId="37">
    <w:name w:val="font11"/>
    <w:basedOn w:val="22"/>
    <w:qFormat/>
    <w:uiPriority w:val="0"/>
    <w:rPr>
      <w:rFonts w:hint="default" w:ascii="Times New Roman" w:hAnsi="Times New Roman" w:cs="Times New Roman"/>
      <w:color w:val="000000"/>
      <w:sz w:val="24"/>
      <w:szCs w:val="24"/>
      <w:u w:val="none"/>
    </w:rPr>
  </w:style>
  <w:style w:type="character" w:customStyle="1" w:styleId="38">
    <w:name w:val="font31"/>
    <w:basedOn w:val="22"/>
    <w:qFormat/>
    <w:uiPriority w:val="0"/>
    <w:rPr>
      <w:rFonts w:ascii="楷体" w:hAnsi="楷体" w:eastAsia="楷体" w:cs="楷体"/>
      <w:color w:val="000000"/>
      <w:sz w:val="32"/>
      <w:szCs w:val="32"/>
      <w:u w:val="none"/>
    </w:rPr>
  </w:style>
  <w:style w:type="character" w:customStyle="1" w:styleId="39">
    <w:name w:val="批注文字 字符"/>
    <w:basedOn w:val="22"/>
    <w:link w:val="7"/>
    <w:qFormat/>
    <w:uiPriority w:val="99"/>
    <w:rPr>
      <w:rFonts w:ascii="Arial" w:hAnsi="Arial" w:eastAsia="Arial" w:cs="Arial"/>
      <w:snapToGrid w:val="0"/>
      <w:color w:val="000000"/>
      <w:sz w:val="21"/>
      <w:szCs w:val="21"/>
      <w:lang w:eastAsia="en-US"/>
    </w:rPr>
  </w:style>
  <w:style w:type="character" w:customStyle="1" w:styleId="40">
    <w:name w:val="批注主题 字符"/>
    <w:basedOn w:val="39"/>
    <w:link w:val="18"/>
    <w:qFormat/>
    <w:uiPriority w:val="0"/>
    <w:rPr>
      <w:rFonts w:ascii="Arial" w:hAnsi="Arial" w:eastAsia="Arial" w:cs="Arial"/>
      <w:b/>
      <w:bCs/>
      <w:snapToGrid w:val="0"/>
      <w:color w:val="000000"/>
      <w:sz w:val="21"/>
      <w:szCs w:val="21"/>
      <w:lang w:eastAsia="en-US"/>
    </w:rPr>
  </w:style>
  <w:style w:type="character" w:customStyle="1" w:styleId="41">
    <w:name w:val="批注框文本 字符"/>
    <w:basedOn w:val="22"/>
    <w:link w:val="13"/>
    <w:qFormat/>
    <w:uiPriority w:val="0"/>
    <w:rPr>
      <w:rFonts w:ascii="Arial" w:hAnsi="Arial" w:eastAsia="Arial" w:cs="Arial"/>
      <w:snapToGrid w:val="0"/>
      <w:color w:val="000000"/>
      <w:sz w:val="18"/>
      <w:szCs w:val="18"/>
      <w:lang w:eastAsia="en-US"/>
    </w:rPr>
  </w:style>
  <w:style w:type="character" w:customStyle="1" w:styleId="42">
    <w:name w:val="题注 字符3"/>
    <w:basedOn w:val="22"/>
    <w:link w:val="6"/>
    <w:qFormat/>
    <w:uiPriority w:val="35"/>
    <w:rPr>
      <w:rFonts w:ascii="黑体" w:hAnsi="黑体" w:eastAsia="黑体"/>
      <w:b/>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7.wmf"/><Relationship Id="rId26" Type="http://schemas.openxmlformats.org/officeDocument/2006/relationships/oleObject" Target="embeddings/oleObject3.bin"/><Relationship Id="rId25" Type="http://schemas.openxmlformats.org/officeDocument/2006/relationships/image" Target="media/image6.wmf"/><Relationship Id="rId24" Type="http://schemas.openxmlformats.org/officeDocument/2006/relationships/oleObject" Target="embeddings/oleObject2.bin"/><Relationship Id="rId23" Type="http://schemas.openxmlformats.org/officeDocument/2006/relationships/image" Target="media/image5.wmf"/><Relationship Id="rId22" Type="http://schemas.openxmlformats.org/officeDocument/2006/relationships/oleObject" Target="embeddings/oleObject1.bin"/><Relationship Id="rId21" Type="http://schemas.openxmlformats.org/officeDocument/2006/relationships/image" Target="media/image4.wmf"/><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0F1C3-FD55-47CC-8C03-1ECCF25D9369}">
  <ds:schemaRefs/>
</ds:datastoreItem>
</file>

<file path=docProps/app.xml><?xml version="1.0" encoding="utf-8"?>
<Properties xmlns="http://schemas.openxmlformats.org/officeDocument/2006/extended-properties" xmlns:vt="http://schemas.openxmlformats.org/officeDocument/2006/docPropsVTypes">
  <Template>Normal</Template>
  <Pages>29</Pages>
  <Words>7787</Words>
  <Characters>9831</Characters>
  <Lines>822</Lines>
  <Paragraphs>231</Paragraphs>
  <TotalTime>8</TotalTime>
  <ScaleCrop>false</ScaleCrop>
  <LinksUpToDate>false</LinksUpToDate>
  <CharactersWithSpaces>10398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2025-11-11T09:20:00Z</dcterms:created>
  <dc:creator>wyw</dc:creator>
  <cp:lastModifiedBy>邱大毛</cp:lastModifiedBy>
  <dcterms:modified xsi:type="dcterms:W3CDTF">2026-01-21T07:19:20Z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2025-08-20T08:37:24Z</vt:filetime>
  </property>
  <property fmtid="{D5CDD505-2E9C-101B-9397-08002B2CF9AE}" pid="4" name="KSOTemplateDocerSaveRecord">
    <vt:lpwstr>eyJoZGlkIjoiYjNkNTZmOGI5Zjg0NTc3MDMxNmQxMzQ0MTFjNmVmMWMiLCJ1c2VySWQiOiI1MTE4Mjg1MjUifQ==</vt:lpwstr>
  </property>
  <property fmtid="{D5CDD505-2E9C-101B-9397-08002B2CF9AE}" pid="5" name="KSOProductBuildVer">
    <vt:lpwstr>2052-12.1.0.24657</vt:lpwstr>
  </property>
  <property fmtid="{D5CDD505-2E9C-101B-9397-08002B2CF9AE}" pid="6" name="ICV">
    <vt:lpwstr>969E18A6F88B454E8FFA455482595001_13</vt:lpwstr>
  </property>
</Properties>
</file>